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000"/>
      </w:tblPr>
      <w:tblGrid>
        <w:gridCol w:w="2199"/>
        <w:gridCol w:w="6492"/>
        <w:gridCol w:w="2199"/>
      </w:tblGrid>
      <w:tr w:rsidR="00000000">
        <w:trPr>
          <w:tblCellSpacing w:w="15" w:type="dxa"/>
        </w:trPr>
        <w:tc>
          <w:tcPr>
            <w:tcW w:w="1000" w:type="pct"/>
            <w:vAlign w:val="center"/>
          </w:tcPr>
          <w:p w:rsidR="00000000" w:rsidRDefault="002D61D9">
            <w:pPr>
              <w:rPr>
                <w:rFonts w:ascii="Arial" w:hAnsi="Arial" w:cs="Arial"/>
                <w:sz w:val="18"/>
                <w:szCs w:val="14"/>
              </w:rPr>
            </w:pPr>
          </w:p>
        </w:tc>
        <w:tc>
          <w:tcPr>
            <w:tcW w:w="3000" w:type="pct"/>
            <w:vAlign w:val="center"/>
          </w:tcPr>
          <w:p w:rsidR="00000000" w:rsidRDefault="002D61D9">
            <w:pPr>
              <w:jc w:val="center"/>
              <w:rPr>
                <w:rFonts w:ascii="Arial" w:hAnsi="Arial" w:cs="Arial"/>
                <w:sz w:val="18"/>
                <w:szCs w:val="14"/>
              </w:rPr>
            </w:pPr>
            <w:r>
              <w:rPr>
                <w:rFonts w:ascii="Arial" w:hAnsi="Arial" w:cs="Arial"/>
                <w:sz w:val="18"/>
                <w:szCs w:val="14"/>
              </w:rPr>
              <w:t>Legislative Information System</w:t>
            </w:r>
          </w:p>
        </w:tc>
        <w:tc>
          <w:tcPr>
            <w:tcW w:w="1000" w:type="pct"/>
            <w:vAlign w:val="center"/>
          </w:tcPr>
          <w:p w:rsidR="00000000" w:rsidRDefault="002D61D9">
            <w:pPr>
              <w:jc w:val="right"/>
              <w:rPr>
                <w:rFonts w:ascii="Arial" w:hAnsi="Arial" w:cs="Arial"/>
                <w:sz w:val="18"/>
                <w:szCs w:val="14"/>
              </w:rPr>
            </w:pPr>
            <w:r>
              <w:rPr>
                <w:rFonts w:ascii="Arial" w:hAnsi="Arial" w:cs="Arial"/>
                <w:sz w:val="18"/>
                <w:szCs w:val="14"/>
              </w:rPr>
              <w:t>11/27/2010</w:t>
            </w:r>
          </w:p>
        </w:tc>
      </w:tr>
      <w:tr w:rsidR="00000000">
        <w:trPr>
          <w:tblCellSpacing w:w="15" w:type="dxa"/>
        </w:trPr>
        <w:tc>
          <w:tcPr>
            <w:tcW w:w="1000" w:type="pct"/>
            <w:vAlign w:val="center"/>
          </w:tcPr>
          <w:p w:rsidR="00000000" w:rsidRDefault="002D61D9">
            <w:pPr>
              <w:rPr>
                <w:rFonts w:ascii="Arial" w:hAnsi="Arial" w:cs="Arial"/>
                <w:sz w:val="18"/>
                <w:szCs w:val="14"/>
              </w:rPr>
            </w:pPr>
          </w:p>
        </w:tc>
        <w:tc>
          <w:tcPr>
            <w:tcW w:w="3000" w:type="pct"/>
            <w:vAlign w:val="center"/>
          </w:tcPr>
          <w:p w:rsidR="00000000" w:rsidRDefault="002D61D9">
            <w:pPr>
              <w:jc w:val="center"/>
              <w:rPr>
                <w:rFonts w:ascii="Arial" w:hAnsi="Arial" w:cs="Arial"/>
                <w:sz w:val="18"/>
                <w:szCs w:val="14"/>
              </w:rPr>
            </w:pPr>
            <w:r>
              <w:rPr>
                <w:rFonts w:ascii="Arial" w:hAnsi="Arial" w:cs="Arial"/>
                <w:sz w:val="18"/>
                <w:szCs w:val="14"/>
              </w:rPr>
              <w:t>96th General Assembly</w:t>
            </w:r>
          </w:p>
        </w:tc>
        <w:tc>
          <w:tcPr>
            <w:tcW w:w="1000" w:type="pct"/>
            <w:vAlign w:val="center"/>
          </w:tcPr>
          <w:p w:rsidR="00000000" w:rsidRDefault="002D61D9">
            <w:pPr>
              <w:jc w:val="right"/>
              <w:rPr>
                <w:rFonts w:ascii="Arial" w:hAnsi="Arial" w:cs="Arial"/>
                <w:sz w:val="18"/>
                <w:szCs w:val="14"/>
              </w:rPr>
            </w:pPr>
            <w:r>
              <w:rPr>
                <w:rFonts w:ascii="Arial" w:hAnsi="Arial" w:cs="Arial"/>
                <w:sz w:val="18"/>
                <w:szCs w:val="14"/>
              </w:rPr>
              <w:t>2:46:01 PM</w:t>
            </w:r>
          </w:p>
        </w:tc>
      </w:tr>
      <w:tr w:rsidR="00000000">
        <w:trPr>
          <w:tblCellSpacing w:w="15" w:type="dxa"/>
        </w:trPr>
        <w:tc>
          <w:tcPr>
            <w:tcW w:w="1000" w:type="pct"/>
            <w:vAlign w:val="center"/>
          </w:tcPr>
          <w:p w:rsidR="00000000" w:rsidRDefault="002D61D9">
            <w:pPr>
              <w:rPr>
                <w:rFonts w:ascii="Arial" w:hAnsi="Arial" w:cs="Arial"/>
                <w:sz w:val="18"/>
                <w:szCs w:val="14"/>
              </w:rPr>
            </w:pPr>
          </w:p>
        </w:tc>
        <w:tc>
          <w:tcPr>
            <w:tcW w:w="3000" w:type="pct"/>
            <w:vAlign w:val="center"/>
          </w:tcPr>
          <w:p w:rsidR="00000000" w:rsidRDefault="002D61D9">
            <w:pPr>
              <w:jc w:val="center"/>
              <w:rPr>
                <w:rFonts w:ascii="Arial" w:hAnsi="Arial" w:cs="Arial"/>
                <w:sz w:val="18"/>
                <w:szCs w:val="14"/>
              </w:rPr>
            </w:pPr>
            <w:r>
              <w:rPr>
                <w:rFonts w:ascii="Arial" w:hAnsi="Arial" w:cs="Arial"/>
                <w:b/>
                <w:bCs/>
                <w:sz w:val="18"/>
                <w:szCs w:val="14"/>
              </w:rPr>
              <w:t>All Bills (Bill Order)</w:t>
            </w:r>
          </w:p>
        </w:tc>
        <w:tc>
          <w:tcPr>
            <w:tcW w:w="1000" w:type="pct"/>
            <w:vAlign w:val="center"/>
          </w:tcPr>
          <w:p w:rsidR="00000000" w:rsidRDefault="002D61D9">
            <w:pPr>
              <w:rPr>
                <w:rFonts w:ascii="Arial" w:hAnsi="Arial" w:cs="Arial"/>
                <w:sz w:val="18"/>
                <w:szCs w:val="14"/>
              </w:rPr>
            </w:pPr>
          </w:p>
        </w:tc>
      </w:tr>
      <w:tr w:rsidR="00000000">
        <w:trPr>
          <w:tblCellSpacing w:w="15" w:type="dxa"/>
        </w:trPr>
        <w:tc>
          <w:tcPr>
            <w:tcW w:w="1000" w:type="pct"/>
            <w:vAlign w:val="center"/>
          </w:tcPr>
          <w:p w:rsidR="00000000" w:rsidRDefault="002D61D9">
            <w:pPr>
              <w:rPr>
                <w:rFonts w:ascii="Arial" w:hAnsi="Arial" w:cs="Arial"/>
                <w:sz w:val="18"/>
                <w:szCs w:val="14"/>
              </w:rPr>
            </w:pPr>
            <w:r>
              <w:rPr>
                <w:rFonts w:ascii="Arial" w:hAnsi="Arial" w:cs="Arial"/>
                <w:sz w:val="18"/>
                <w:szCs w:val="14"/>
              </w:rPr>
              <w:t>Both Chambers</w:t>
            </w:r>
          </w:p>
        </w:tc>
        <w:tc>
          <w:tcPr>
            <w:tcW w:w="3000" w:type="pct"/>
            <w:vAlign w:val="center"/>
          </w:tcPr>
          <w:p w:rsidR="00000000" w:rsidRDefault="002D61D9">
            <w:pPr>
              <w:jc w:val="center"/>
              <w:rPr>
                <w:rFonts w:ascii="Arial" w:hAnsi="Arial" w:cs="Arial"/>
                <w:sz w:val="18"/>
                <w:szCs w:val="14"/>
              </w:rPr>
            </w:pPr>
            <w:r>
              <w:rPr>
                <w:rFonts w:ascii="Arial" w:hAnsi="Arial" w:cs="Arial"/>
                <w:b/>
                <w:bCs/>
                <w:sz w:val="18"/>
                <w:szCs w:val="14"/>
              </w:rPr>
              <w:t>OT’s</w:t>
            </w:r>
          </w:p>
        </w:tc>
        <w:tc>
          <w:tcPr>
            <w:tcW w:w="1000" w:type="pct"/>
            <w:vAlign w:val="center"/>
          </w:tcPr>
          <w:p w:rsidR="00000000" w:rsidRDefault="002D61D9">
            <w:pPr>
              <w:rPr>
                <w:rFonts w:ascii="Arial" w:hAnsi="Arial" w:cs="Arial"/>
                <w:sz w:val="18"/>
                <w:szCs w:val="14"/>
              </w:rPr>
            </w:pPr>
          </w:p>
        </w:tc>
      </w:tr>
    </w:tbl>
    <w:p w:rsidR="00000000" w:rsidRDefault="002D61D9">
      <w:pPr>
        <w:rPr>
          <w:vanish/>
          <w:sz w:val="18"/>
        </w:rPr>
      </w:pPr>
    </w:p>
    <w:tbl>
      <w:tblPr>
        <w:tblW w:w="5000" w:type="pct"/>
        <w:tblCellSpacing w:w="0" w:type="dxa"/>
        <w:tblCellMar>
          <w:top w:w="15" w:type="dxa"/>
          <w:left w:w="15" w:type="dxa"/>
          <w:bottom w:w="15" w:type="dxa"/>
          <w:right w:w="15" w:type="dxa"/>
        </w:tblCellMar>
        <w:tblLook w:val="0000"/>
      </w:tblPr>
      <w:tblGrid>
        <w:gridCol w:w="681"/>
        <w:gridCol w:w="131"/>
        <w:gridCol w:w="1530"/>
        <w:gridCol w:w="3421"/>
        <w:gridCol w:w="5067"/>
      </w:tblGrid>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2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HB64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MEDICAL PRACTICE ACT-DELEGATE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04/03/2009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2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w:t>
            </w:r>
            <w:r>
              <w:rPr>
                <w:rFonts w:ascii="Arial" w:hAnsi="Arial" w:cs="Arial"/>
                <w:sz w:val="18"/>
                <w:szCs w:val="14"/>
              </w:rPr>
              <w:t>37</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Jil Tracy</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(Deanna Demuzio)</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PROMPT PAYMENT-PENALTY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11/03/2009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96-0802</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2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HB496</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David E. Miller</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(Ira I. Silverstein)</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MED PRACTICE ACT-FEE SPLITTING</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08/16/2009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19(b) / Re-referred to Rules Committe</w:t>
                  </w:r>
                  <w:r>
                    <w:rPr>
                      <w:rFonts w:ascii="Arial" w:hAnsi="Arial" w:cs="Arial"/>
                      <w:sz w:val="18"/>
                      <w:szCs w:val="14"/>
                    </w:rPr>
                    <w:t>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2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HB953</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Sandra M. Pihos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ELEVATOR SAFETY-PRIVATE RESIDE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2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HB1081</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Kathleen A. Ryg</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DHFS-DFPR-HEALTH INSURANCE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w:t>
            </w:r>
            <w:r>
              <w:rPr>
                <w:rFonts w:ascii="Arial" w:hAnsi="Arial" w:cs="Arial"/>
                <w:sz w:val="18"/>
                <w:szCs w:val="14"/>
              </w:rPr>
              <w:t>B1359</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ORTH, PROSTH, &amp; PED PRAC ACT</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HB2254</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Monique D. Davis</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(Kimberly A. Lightford)</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SCH CD-CHI SCH-VIOLENCE PRONE</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43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06/27/2010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 xml:space="preserve">Pursuant to Senate Rule 3-9(b) / </w:t>
                  </w:r>
                  <w:r>
                    <w:rPr>
                      <w:rFonts w:ascii="Arial" w:hAnsi="Arial" w:cs="Arial"/>
                      <w:sz w:val="18"/>
                      <w:szCs w:val="14"/>
                    </w:rPr>
                    <w:t>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HB2285</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Sandy Cole</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(Iris Y. Martinez)</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HOSPITAL-NURSING HOME-PATIENTS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96-0389</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HB2337</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(William R. Haine)</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DFPR-LICENSE REVOCATIONS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08/14/2009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w:t>
                  </w:r>
                  <w:r>
                    <w:rPr>
                      <w:rFonts w:ascii="Arial" w:hAnsi="Arial" w:cs="Arial"/>
                      <w:sz w:val="18"/>
                      <w:szCs w:val="14"/>
                    </w:rPr>
                    <w:t xml:space="preserve"> Act . . . . . . . . . 96-0459</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HB2400</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Lou Lang</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(John J. Cullerton)</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PROMPT PAYMENT-MH/DD SERVICES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96-0036</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HB2430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Karen May</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COGFA-HEALTH PROCUREMENT</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w:t>
                  </w:r>
                  <w:r>
                    <w:rPr>
                      <w:rFonts w:ascii="Arial" w:hAnsi="Arial" w:cs="Arial"/>
                      <w:sz w:val="18"/>
                      <w:szCs w:val="14"/>
                    </w:rPr>
                    <w:t xml:space="preserve">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HB2440</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Reitz</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(Iris Y. Martinez)</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SUNSET-ORTHOTICS PROSTHETICS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08/25/2009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96-0682</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HB2476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Elaine Nekritz</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DEPT OF PROF REG LAW-OPINION</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04/03/2009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w:t>
                  </w:r>
                  <w:r>
                    <w:rPr>
                      <w:rFonts w:ascii="Arial" w:hAnsi="Arial" w:cs="Arial"/>
                      <w:sz w:val="18"/>
                      <w:szCs w:val="14"/>
                    </w:rPr>
                    <w:t xml:space="preserve">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HB2597</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Elizabeth Coulson</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REGULATION-TECH</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3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HB2652</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Kevin Joyce</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(Antonio Muñoz)</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 CD-ORTHOTIC COVERAGE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12/14/2009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96-0833</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HB2662</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Elizabeth Coulson</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EARLY INTERVENTN SRVCS-THERAPY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04/03/2009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lastRenderedPageBreak/>
              <w:t>HB3260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Sandra M. Pihos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REGULATION-TECH</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04/03/2009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HB3734</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w:t>
                  </w:r>
                  <w:r>
                    <w:rPr>
                      <w:rFonts w:ascii="Arial" w:hAnsi="Arial" w:cs="Arial"/>
                      <w:sz w:val="18"/>
                      <w:szCs w:val="14"/>
                    </w:rPr>
                    <w:t>lo Saviano</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SPEECH-LANG PATHOLOGY-DEFINE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HB3754</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Karen May</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INDIVIDUAL HEALTH INS FAIRNESS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HB3923</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Greg Harris</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(He</w:t>
                  </w:r>
                  <w:r>
                    <w:rPr>
                      <w:rFonts w:ascii="Arial" w:hAnsi="Arial" w:cs="Arial"/>
                      <w:sz w:val="18"/>
                      <w:szCs w:val="14"/>
                    </w:rPr>
                    <w:t>ather Steans)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 RATE FAIRNESS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01/05/2010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96-0857</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HB4679</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Mary E. Flowers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 CD-PROHIBIT DISCRIMINATION</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03/26/2010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HB4737</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Betsy Hannig</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(William R. H</w:t>
                  </w:r>
                  <w:r>
                    <w:rPr>
                      <w:rFonts w:ascii="Arial" w:hAnsi="Arial" w:cs="Arial"/>
                      <w:sz w:val="18"/>
                      <w:szCs w:val="14"/>
                    </w:rPr>
                    <w:t>aine)</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ST GROUP INS-PHYSICAL THERAPY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07/23/2010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96-1227</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HB4766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Jim Sacia</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ELEVATORS SAFETY-APPLICABILITY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06"/>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01/11/2010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HB4876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JoAnn D. Osmond</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OCC THERAPIST-VISUAL THERA</w:t>
            </w:r>
            <w:r>
              <w:rPr>
                <w:rFonts w:ascii="Arial" w:hAnsi="Arial" w:cs="Arial"/>
                <w:sz w:val="18"/>
                <w:szCs w:val="14"/>
              </w:rPr>
              <w:t>PY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4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HB4924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Rosemary Mulligan</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(Jeffrey M. Schoenberg)</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 CD-COCHLEAR &amp; HEARING IMPL</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056"/>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04/20/2010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HB4935</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Reitz</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(Michael W. Frerichs)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HEALTHCAR</w:t>
            </w:r>
            <w:r>
              <w:rPr>
                <w:rFonts w:ascii="Arial" w:hAnsi="Arial" w:cs="Arial"/>
                <w:sz w:val="18"/>
                <w:szCs w:val="14"/>
              </w:rPr>
              <w:t>E JOBS-FEE SPLITTING</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056"/>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04/06/2010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HB4975</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(Pamela J. Althoff)</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DFPR-REMOVE PUBLIC RECORD</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43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06/27/2010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Pursuant to Senate Rule 3-9(b) / 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HB5081</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Frank J. Mautino</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COGF</w:t>
            </w:r>
            <w:r>
              <w:rPr>
                <w:rFonts w:ascii="Arial" w:hAnsi="Arial" w:cs="Arial"/>
                <w:sz w:val="18"/>
                <w:szCs w:val="14"/>
              </w:rPr>
              <w:t>A-MEDICAL CARE COMMITTEE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HB5086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Linda Chapa LaVia</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PUB AID-AABD PILOT PROGRAM</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03/26/2010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HB5124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Chapin Rose</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(Michael Bond)</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w:t>
            </w:r>
            <w:r>
              <w:rPr>
                <w:rFonts w:ascii="Arial" w:hAnsi="Arial" w:cs="Arial"/>
                <w:sz w:val="18"/>
                <w:szCs w:val="14"/>
              </w:rPr>
              <w:t>HS-STREAMLINED AUDITING</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07/21/2010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96-1141</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HB5138</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JoAnn D. Osmond</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SCH CD-OCC THERAPY-IMMUNITY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HB5190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Mike Fortner</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(Kirk W. Dillard)</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SPEECH-</w:t>
            </w:r>
            <w:r>
              <w:rPr>
                <w:rFonts w:ascii="Arial" w:hAnsi="Arial" w:cs="Arial"/>
                <w:sz w:val="18"/>
                <w:szCs w:val="14"/>
              </w:rPr>
              <w:t>LANGUAGE PATHOLOGY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07/27/2010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96-1315</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HB5222</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Reitz</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DFPR-EXPUNGE OFFENSE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lastRenderedPageBreak/>
              <w:t>HB5390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Constance A. Howard</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HUMAN RTS-EMPLOYMENT-FELONY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w:t>
                  </w:r>
                  <w:r>
                    <w:rPr>
                      <w:rFonts w:ascii="Arial" w:hAnsi="Arial" w:cs="Arial"/>
                      <w:sz w:val="18"/>
                      <w:szCs w:val="14"/>
                    </w:rPr>
                    <w:t>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5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HB5394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Constance A. Howard</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CRIM ID-SEALING RECORDS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03/25/2010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Third Reading - Standard Debate - Lost 044-066-000</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HB5471</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Mary E. Flowers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INS-PATIENT RTS-EXT REVIEW</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03/26/2010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HB5473</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Mary E. Flowers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INS CD-MED NECESSARY APPEALS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03/26/2010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HB5688</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Rich Brauer</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(Kimberly A. Lightford)</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DHS-DCFS-TRANSITION SRVCS-K</w:t>
            </w:r>
            <w:r>
              <w:rPr>
                <w:rFonts w:ascii="Arial" w:hAnsi="Arial" w:cs="Arial"/>
                <w:sz w:val="18"/>
                <w:szCs w:val="14"/>
              </w:rPr>
              <w:t>IDS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07/22/2010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96-1189</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HB5730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Sandy Cole</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DFPR-HIBERNATE LICENSE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HB5744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(Randall M. Hultgren)</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GOOD SAMARITAN FREE CLINICS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06</w:t>
                  </w:r>
                  <w:r>
                    <w:rPr>
                      <w:rFonts w:ascii="Arial" w:hAnsi="Arial" w:cs="Arial"/>
                      <w:sz w:val="18"/>
                      <w:szCs w:val="14"/>
                    </w:rPr>
                    <w:t>/21/2010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Public Act . . . . . . . . . 96-0931</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HB5834</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Esther Golar</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DHS-DCFS-ELECTRONIC SYTM CARE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HB5995</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Reitz</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PODIATRIST-LIMITATIONS ON CARE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06"/>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02/10/2010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Referr</w:t>
                  </w:r>
                  <w:r>
                    <w:rPr>
                      <w:rFonts w:ascii="Arial" w:hAnsi="Arial" w:cs="Arial"/>
                      <w:sz w:val="18"/>
                      <w:szCs w:val="14"/>
                    </w:rPr>
                    <w:t>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HB6114</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Julie Hamos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VEH CD-BICYCLE SAFETY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03/15/2010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19(a)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HB6194</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Sandra M. Pihos</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(Carole Pankau)</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DFPR-LICENSE FORM WAIVER</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07/02/2010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 xml:space="preserve">Public Act . . . . . . . . . </w:t>
                  </w:r>
                  <w:r>
                    <w:rPr>
                      <w:rFonts w:ascii="Arial" w:hAnsi="Arial" w:cs="Arial"/>
                      <w:sz w:val="18"/>
                      <w:szCs w:val="14"/>
                    </w:rPr>
                    <w:t>96-0978</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6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HB6295</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Darlene J. Senger</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DFPR-HEALTHCARE STUDY</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406"/>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02/11/2010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SB149</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Don Harmon</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(Sandra M. Pihos)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ELEVATOR SAFETY-ADMINISTRATOR</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07/23/2009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Public Act . . . . . . . . . 96-0054</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SB318</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Ira I. Silverstein</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MEDICAL PRAC-DELEGATION TASKS</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08/24/2009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Public Act . . . . . . . . . 96-0618</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SB1221</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Donne E. Trotter</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(Michael J. Madigan)</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b/>
                <w:bCs/>
                <w:sz w:val="18"/>
                <w:szCs w:val="14"/>
              </w:rPr>
              <w:t>$DCEO</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0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07/30/2009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Item/Reduction Veto Stands 96-0039</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SB1453</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Edw</w:t>
                  </w:r>
                  <w:r>
                    <w:rPr>
                      <w:rFonts w:ascii="Arial" w:hAnsi="Arial" w:cs="Arial"/>
                      <w:sz w:val="18"/>
                      <w:szCs w:val="14"/>
                    </w:rPr>
                    <w:t>ard D. Maloney</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(Lou Lang)</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HEALTH SERVICES EDUC GRANT-PSY</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07/23/2009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Public Act . . . . . . . . . 96-0069</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SB1558</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Carole Pankau</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MUSIC THERAPIST LICENSE ACT</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SB1610</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Don Harm</w:t>
                  </w:r>
                  <w:r>
                    <w:rPr>
                      <w:rFonts w:ascii="Arial" w:hAnsi="Arial" w:cs="Arial"/>
                      <w:sz w:val="18"/>
                      <w:szCs w:val="14"/>
                    </w:rPr>
                    <w:t>on</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lastRenderedPageBreak/>
              <w:t>ADMIN HEARINGS OFFICE</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43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08/15/2009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 xml:space="preserve">Pursuant to Senate Rule 3-9(b) / Referred </w:t>
                  </w:r>
                  <w:r>
                    <w:rPr>
                      <w:rFonts w:ascii="Arial" w:hAnsi="Arial" w:cs="Arial"/>
                      <w:sz w:val="18"/>
                      <w:szCs w:val="14"/>
                    </w:rPr>
                    <w:lastRenderedPageBreak/>
                    <w:t>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lastRenderedPageBreak/>
              <w:pict>
                <v:rect id="_x0000_i107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SB1616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Heather Steans</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SCH CD-SPEC ED-EXPERT WITNESS</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SB1927</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Ira I. Silverst</w:t>
                  </w:r>
                  <w:r>
                    <w:rPr>
                      <w:rFonts w:ascii="Arial" w:hAnsi="Arial" w:cs="Arial"/>
                      <w:sz w:val="18"/>
                      <w:szCs w:val="14"/>
                    </w:rPr>
                    <w:t>ein</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(Maria Antonia Berrios)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IDPH-HOSPITALS-ABUSE-NEGLECT</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12/01/2009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Rule 19(b) / Re-referred to Rules Committee</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8"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SB2048</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Kotowski</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SCH CD-MEDICATION MGMT PLAN</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03/13/2009</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79"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SB2506</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Bil</w:t>
                  </w:r>
                  <w:r>
                    <w:rPr>
                      <w:rFonts w:ascii="Arial" w:hAnsi="Arial" w:cs="Arial"/>
                      <w:sz w:val="18"/>
                      <w:szCs w:val="14"/>
                    </w:rPr>
                    <w:t>l Brady</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STATE VOUCHERS-PAYMENT</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03/19/2010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0"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SB2541</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 J. Wilhelmi</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(Sidney H. Mathias)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UNIFORM EMER VOLUNTR HLTH PRAC</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07/02/2010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Public Act . . . . . . . . . 96-0983</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1"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SB2604</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Pamela J.</w:t>
                  </w:r>
                  <w:r>
                    <w:rPr>
                      <w:rFonts w:ascii="Arial" w:hAnsi="Arial" w:cs="Arial"/>
                      <w:sz w:val="18"/>
                      <w:szCs w:val="14"/>
                    </w:rPr>
                    <w:t xml:space="preserve"> Althoff</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DFPR-REMOVE PUBLIC RECORD</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43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03/11/2010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Tabled By Sponsor Sen. Pamela J. Althoff</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2"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SB2635</w:t>
            </w:r>
          </w:p>
        </w:tc>
        <w:tc>
          <w:tcPr>
            <w:tcW w:w="0" w:type="auto"/>
          </w:tcPr>
          <w:p w:rsidR="00000000" w:rsidRDefault="002D61D9">
            <w:pPr>
              <w:rPr>
                <w:rFonts w:ascii="Arial" w:hAnsi="Arial" w:cs="Arial"/>
                <w:sz w:val="18"/>
                <w:szCs w:val="14"/>
              </w:rPr>
            </w:pPr>
            <w:r>
              <w:rPr>
                <w:rFonts w:ascii="Arial" w:hAnsi="Arial" w:cs="Arial"/>
                <w:sz w:val="18"/>
                <w:szCs w:val="14"/>
              </w:rPr>
              <w:t>s</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Michael W. Frerichs</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(Dan Reitz)</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HEALTHCARE JOBS-FEE SPLITTING</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3480"/>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11/18/2010</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Placed on Calendar Total Veto November 29, 2010</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3"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SB2977</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Carole Pankau</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MUSIC THERAPY REGISTRATION</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03/08/2010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4"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SB3163</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Matt Murphy</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INC TX-CREDIT-MODIFY RESIDENCE</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33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03/08/2010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Rule 3-9(a) / Re-referred to Assignments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5"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SB3509</w:t>
            </w:r>
          </w:p>
        </w:tc>
        <w:tc>
          <w:tcPr>
            <w:tcW w:w="0" w:type="auto"/>
          </w:tcPr>
          <w:p w:rsidR="00000000" w:rsidRDefault="002D61D9">
            <w:pPr>
              <w:rPr>
                <w:rFonts w:ascii="Arial" w:hAnsi="Arial" w:cs="Arial"/>
                <w:sz w:val="18"/>
                <w:szCs w:val="14"/>
              </w:rPr>
            </w:pPr>
            <w:r>
              <w:rPr>
                <w:rFonts w:ascii="Arial" w:hAnsi="Arial" w:cs="Arial"/>
                <w:sz w:val="18"/>
                <w:szCs w:val="14"/>
              </w:rPr>
              <w:t>b</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William R. Haine</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(Angelo Saviano)</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HEALTH CARE PROFESSIONAL-ADS</w:t>
            </w:r>
          </w:p>
        </w:tc>
        <w:tc>
          <w:tcPr>
            <w:tcW w:w="0" w:type="auto"/>
          </w:tcPr>
          <w:tbl>
            <w:tblPr>
              <w:tblW w:w="0" w:type="auto"/>
              <w:tblCellSpacing w:w="15" w:type="dxa"/>
              <w:tblCellMar>
                <w:top w:w="15" w:type="dxa"/>
                <w:left w:w="15" w:type="dxa"/>
                <w:bottom w:w="15" w:type="dxa"/>
                <w:right w:w="15" w:type="dxa"/>
              </w:tblCellMar>
              <w:tblLook w:val="0000"/>
            </w:tblPr>
            <w:tblGrid>
              <w:gridCol w:w="976"/>
              <w:gridCol w:w="631"/>
              <w:gridCol w:w="248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07/27/2010</w:t>
                  </w:r>
                </w:p>
              </w:tc>
              <w:tc>
                <w:tcPr>
                  <w:tcW w:w="0" w:type="auto"/>
                  <w:noWrap/>
                </w:tcPr>
                <w:p w:rsidR="00000000" w:rsidRDefault="002D61D9">
                  <w:pPr>
                    <w:rPr>
                      <w:rFonts w:ascii="Arial" w:hAnsi="Arial" w:cs="Arial"/>
                      <w:sz w:val="18"/>
                      <w:szCs w:val="14"/>
                    </w:rPr>
                  </w:pPr>
                  <w:r>
                    <w:rPr>
                      <w:rFonts w:ascii="Arial" w:hAnsi="Arial" w:cs="Arial"/>
                      <w:sz w:val="18"/>
                      <w:szCs w:val="14"/>
                    </w:rPr>
                    <w:t>Senate</w:t>
                  </w:r>
                </w:p>
              </w:tc>
              <w:tc>
                <w:tcPr>
                  <w:tcW w:w="0" w:type="auto"/>
                </w:tcPr>
                <w:p w:rsidR="00000000" w:rsidRDefault="002D61D9">
                  <w:pPr>
                    <w:rPr>
                      <w:rFonts w:ascii="Arial" w:hAnsi="Arial" w:cs="Arial"/>
                      <w:sz w:val="18"/>
                      <w:szCs w:val="14"/>
                    </w:rPr>
                  </w:pPr>
                  <w:r>
                    <w:rPr>
                      <w:rFonts w:ascii="Arial" w:hAnsi="Arial" w:cs="Arial"/>
                      <w:sz w:val="18"/>
                      <w:szCs w:val="14"/>
                    </w:rPr>
                    <w:t>Public Act . . . . . . . . . 96-1340</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6"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HJR12</w:t>
            </w:r>
          </w:p>
        </w:tc>
        <w:tc>
          <w:tcPr>
            <w:tcW w:w="0" w:type="auto"/>
          </w:tcPr>
          <w:p w:rsidR="00000000" w:rsidRDefault="002D61D9">
            <w:pPr>
              <w:rPr>
                <w:rFonts w:ascii="Arial" w:hAnsi="Arial" w:cs="Arial"/>
                <w:sz w:val="18"/>
                <w:szCs w:val="14"/>
              </w:rPr>
            </w:pP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Al Riley</w:t>
                  </w:r>
                </w:p>
              </w:tc>
            </w:tr>
            <w:tr w:rsidR="00000000">
              <w:trPr>
                <w:tblCellSpacing w:w="0" w:type="dxa"/>
              </w:trPr>
              <w:tc>
                <w:tcPr>
                  <w:tcW w:w="0" w:type="auto"/>
                  <w:vAlign w:val="center"/>
                </w:tcPr>
                <w:p w:rsidR="00000000" w:rsidRDefault="002D61D9">
                  <w:pPr>
                    <w:rPr>
                      <w:rFonts w:ascii="Arial" w:hAnsi="Arial" w:cs="Arial"/>
                      <w:sz w:val="18"/>
                      <w:szCs w:val="14"/>
                    </w:rPr>
                  </w:pP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FETAL ALCHL SPECTRUM DISORDERS</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269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03/10/2009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Tabled By Sponsor Rep. Al Riley</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7" style="width:0;height:1.5pt" o:hralign="center" o:hrstd="t" o:hr="t" fillcolor="#a0a0a0" stroked="f"/>
              </w:pict>
            </w:r>
          </w:p>
        </w:tc>
      </w:tr>
      <w:tr w:rsidR="00000000">
        <w:trPr>
          <w:tblCellSpacing w:w="0" w:type="dxa"/>
        </w:trPr>
        <w:tc>
          <w:tcPr>
            <w:tcW w:w="0" w:type="auto"/>
          </w:tcPr>
          <w:p w:rsidR="00000000" w:rsidRDefault="002D61D9">
            <w:pPr>
              <w:rPr>
                <w:rFonts w:ascii="Arial" w:hAnsi="Arial" w:cs="Arial"/>
                <w:sz w:val="18"/>
                <w:szCs w:val="14"/>
              </w:rPr>
            </w:pPr>
            <w:r>
              <w:rPr>
                <w:rFonts w:ascii="Arial" w:hAnsi="Arial" w:cs="Arial"/>
                <w:sz w:val="18"/>
                <w:szCs w:val="14"/>
              </w:rPr>
              <w:t>HJR50</w:t>
            </w:r>
          </w:p>
        </w:tc>
        <w:tc>
          <w:tcPr>
            <w:tcW w:w="0" w:type="auto"/>
          </w:tcPr>
          <w:p w:rsidR="00000000" w:rsidRDefault="002D61D9">
            <w:pPr>
              <w:rPr>
                <w:rFonts w:ascii="Arial" w:hAnsi="Arial" w:cs="Arial"/>
                <w:sz w:val="18"/>
                <w:szCs w:val="14"/>
              </w:rPr>
            </w:pPr>
            <w:r>
              <w:rPr>
                <w:rFonts w:ascii="Arial" w:hAnsi="Arial" w:cs="Arial"/>
                <w:sz w:val="18"/>
                <w:szCs w:val="14"/>
              </w:rPr>
              <w:t>h</w:t>
            </w:r>
          </w:p>
        </w:tc>
        <w:tc>
          <w:tcPr>
            <w:tcW w:w="0" w:type="auto"/>
          </w:tcPr>
          <w:tbl>
            <w:tblPr>
              <w:tblW w:w="1500" w:type="dxa"/>
              <w:tblCellSpacing w:w="0" w:type="dxa"/>
              <w:tblCellMar>
                <w:top w:w="15" w:type="dxa"/>
                <w:left w:w="15" w:type="dxa"/>
                <w:bottom w:w="15" w:type="dxa"/>
                <w:right w:w="15" w:type="dxa"/>
              </w:tblCellMar>
              <w:tblLook w:val="0000"/>
            </w:tblPr>
            <w:tblGrid>
              <w:gridCol w:w="1500"/>
            </w:tblGrid>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Elizabeth Coulson</w:t>
                  </w:r>
                </w:p>
              </w:tc>
            </w:tr>
            <w:tr w:rsidR="00000000">
              <w:trPr>
                <w:tblCellSpacing w:w="0" w:type="dxa"/>
              </w:trPr>
              <w:tc>
                <w:tcPr>
                  <w:tcW w:w="0" w:type="auto"/>
                  <w:vAlign w:val="center"/>
                </w:tcPr>
                <w:p w:rsidR="00000000" w:rsidRDefault="002D61D9">
                  <w:pPr>
                    <w:rPr>
                      <w:rFonts w:ascii="Arial" w:hAnsi="Arial" w:cs="Arial"/>
                      <w:sz w:val="18"/>
                      <w:szCs w:val="14"/>
                    </w:rPr>
                  </w:pPr>
                  <w:r>
                    <w:rPr>
                      <w:rFonts w:ascii="Arial" w:hAnsi="Arial" w:cs="Arial"/>
                      <w:sz w:val="18"/>
                      <w:szCs w:val="14"/>
                    </w:rPr>
                    <w:t>(Heather Ste</w:t>
                  </w:r>
                  <w:r>
                    <w:rPr>
                      <w:rFonts w:ascii="Arial" w:hAnsi="Arial" w:cs="Arial"/>
                      <w:sz w:val="18"/>
                      <w:szCs w:val="14"/>
                    </w:rPr>
                    <w:t>ans)</w:t>
                  </w:r>
                </w:p>
              </w:tc>
            </w:tr>
          </w:tbl>
          <w:p w:rsidR="00000000" w:rsidRDefault="002D61D9">
            <w:pPr>
              <w:rPr>
                <w:rFonts w:ascii="Arial" w:hAnsi="Arial" w:cs="Arial"/>
                <w:sz w:val="18"/>
                <w:szCs w:val="14"/>
              </w:rPr>
            </w:pPr>
          </w:p>
        </w:tc>
        <w:tc>
          <w:tcPr>
            <w:tcW w:w="0" w:type="auto"/>
            <w:noWrap/>
          </w:tcPr>
          <w:p w:rsidR="00000000" w:rsidRDefault="002D61D9">
            <w:pPr>
              <w:rPr>
                <w:rFonts w:ascii="Arial" w:hAnsi="Arial" w:cs="Arial"/>
                <w:sz w:val="18"/>
                <w:szCs w:val="14"/>
              </w:rPr>
            </w:pPr>
            <w:r>
              <w:rPr>
                <w:rFonts w:ascii="Arial" w:hAnsi="Arial" w:cs="Arial"/>
                <w:sz w:val="18"/>
                <w:szCs w:val="14"/>
              </w:rPr>
              <w:t>EARLY INTERVENTION TASKFORCE</w:t>
            </w:r>
          </w:p>
        </w:tc>
        <w:tc>
          <w:tcPr>
            <w:tcW w:w="0" w:type="auto"/>
          </w:tcPr>
          <w:tbl>
            <w:tblPr>
              <w:tblW w:w="0" w:type="auto"/>
              <w:tblCellSpacing w:w="15" w:type="dxa"/>
              <w:tblCellMar>
                <w:top w:w="15" w:type="dxa"/>
                <w:left w:w="15" w:type="dxa"/>
                <w:bottom w:w="15" w:type="dxa"/>
                <w:right w:w="15" w:type="dxa"/>
              </w:tblCellMar>
              <w:tblLook w:val="0000"/>
            </w:tblPr>
            <w:tblGrid>
              <w:gridCol w:w="976"/>
              <w:gridCol w:w="581"/>
              <w:gridCol w:w="1827"/>
            </w:tblGrid>
            <w:tr w:rsidR="00000000">
              <w:trPr>
                <w:tblCellSpacing w:w="15" w:type="dxa"/>
              </w:trPr>
              <w:tc>
                <w:tcPr>
                  <w:tcW w:w="0" w:type="auto"/>
                  <w:noWrap/>
                </w:tcPr>
                <w:p w:rsidR="00000000" w:rsidRDefault="002D61D9">
                  <w:pPr>
                    <w:rPr>
                      <w:rFonts w:ascii="Arial" w:hAnsi="Arial" w:cs="Arial"/>
                      <w:sz w:val="18"/>
                      <w:szCs w:val="14"/>
                    </w:rPr>
                  </w:pPr>
                  <w:r>
                    <w:rPr>
                      <w:rFonts w:ascii="Arial" w:hAnsi="Arial" w:cs="Arial"/>
                      <w:sz w:val="18"/>
                      <w:szCs w:val="14"/>
                    </w:rPr>
                    <w:t>05/30/2009</w:t>
                  </w:r>
                </w:p>
              </w:tc>
              <w:tc>
                <w:tcPr>
                  <w:tcW w:w="0" w:type="auto"/>
                  <w:noWrap/>
                </w:tcPr>
                <w:p w:rsidR="00000000" w:rsidRDefault="002D61D9">
                  <w:pPr>
                    <w:rPr>
                      <w:rFonts w:ascii="Arial" w:hAnsi="Arial" w:cs="Arial"/>
                      <w:sz w:val="18"/>
                      <w:szCs w:val="14"/>
                    </w:rPr>
                  </w:pPr>
                  <w:r>
                    <w:rPr>
                      <w:rFonts w:ascii="Arial" w:hAnsi="Arial" w:cs="Arial"/>
                      <w:sz w:val="18"/>
                      <w:szCs w:val="14"/>
                    </w:rPr>
                    <w:t>House</w:t>
                  </w:r>
                </w:p>
              </w:tc>
              <w:tc>
                <w:tcPr>
                  <w:tcW w:w="0" w:type="auto"/>
                </w:tcPr>
                <w:p w:rsidR="00000000" w:rsidRDefault="002D61D9">
                  <w:pPr>
                    <w:rPr>
                      <w:rFonts w:ascii="Arial" w:hAnsi="Arial" w:cs="Arial"/>
                      <w:sz w:val="18"/>
                      <w:szCs w:val="14"/>
                    </w:rPr>
                  </w:pPr>
                  <w:r>
                    <w:rPr>
                      <w:rFonts w:ascii="Arial" w:hAnsi="Arial" w:cs="Arial"/>
                      <w:sz w:val="18"/>
                      <w:szCs w:val="14"/>
                    </w:rPr>
                    <w:t>Adopted Both Houses</w:t>
                  </w:r>
                </w:p>
              </w:tc>
            </w:tr>
          </w:tbl>
          <w:p w:rsidR="00000000" w:rsidRDefault="002D61D9">
            <w:pPr>
              <w:rPr>
                <w:rFonts w:ascii="Arial" w:hAnsi="Arial" w:cs="Arial"/>
                <w:sz w:val="18"/>
                <w:szCs w:val="14"/>
              </w:rPr>
            </w:pPr>
          </w:p>
        </w:tc>
      </w:tr>
      <w:tr w:rsidR="00000000">
        <w:trPr>
          <w:tblCellSpacing w:w="0" w:type="dxa"/>
        </w:trPr>
        <w:tc>
          <w:tcPr>
            <w:tcW w:w="0" w:type="auto"/>
            <w:gridSpan w:val="5"/>
            <w:vAlign w:val="center"/>
          </w:tcPr>
          <w:p w:rsidR="00000000" w:rsidRDefault="002D61D9">
            <w:pPr>
              <w:rPr>
                <w:rFonts w:ascii="Arial" w:hAnsi="Arial" w:cs="Arial"/>
                <w:sz w:val="18"/>
                <w:szCs w:val="14"/>
              </w:rPr>
            </w:pPr>
            <w:r>
              <w:rPr>
                <w:rFonts w:ascii="Arial" w:hAnsi="Arial" w:cs="Arial"/>
                <w:sz w:val="18"/>
                <w:szCs w:val="14"/>
              </w:rPr>
              <w:pict>
                <v:rect id="_x0000_i1088" style="width:0;height:1.5pt" o:hralign="center" o:hrstd="t" o:hr="t" fillcolor="#a0a0a0" stroked="f"/>
              </w:pict>
            </w:r>
          </w:p>
        </w:tc>
      </w:tr>
    </w:tbl>
    <w:p w:rsidR="00000000" w:rsidRDefault="002D61D9">
      <w:pPr>
        <w:rPr>
          <w:vanish/>
          <w:sz w:val="18"/>
        </w:rPr>
      </w:pPr>
    </w:p>
    <w:tbl>
      <w:tblPr>
        <w:tblW w:w="0" w:type="auto"/>
        <w:tblCellSpacing w:w="15" w:type="dxa"/>
        <w:tblCellMar>
          <w:top w:w="15" w:type="dxa"/>
          <w:left w:w="15" w:type="dxa"/>
          <w:bottom w:w="15" w:type="dxa"/>
          <w:right w:w="15" w:type="dxa"/>
        </w:tblCellMar>
        <w:tblLook w:val="0000"/>
      </w:tblPr>
      <w:tblGrid>
        <w:gridCol w:w="4982"/>
      </w:tblGrid>
      <w:tr w:rsidR="00000000">
        <w:trPr>
          <w:tblCellSpacing w:w="15" w:type="dxa"/>
        </w:trPr>
        <w:tc>
          <w:tcPr>
            <w:tcW w:w="0" w:type="auto"/>
            <w:vAlign w:val="center"/>
          </w:tcPr>
          <w:p w:rsidR="00000000" w:rsidRDefault="002D61D9">
            <w:pPr>
              <w:rPr>
                <w:rFonts w:ascii="Arial" w:hAnsi="Arial" w:cs="Arial"/>
                <w:sz w:val="18"/>
                <w:szCs w:val="14"/>
              </w:rPr>
            </w:pPr>
            <w:r>
              <w:rPr>
                <w:rFonts w:ascii="Arial" w:hAnsi="Arial" w:cs="Arial"/>
                <w:sz w:val="18"/>
                <w:szCs w:val="14"/>
              </w:rPr>
              <w:t>Totals: 63 - (House Bills: 45) (Senate Bills: 16) (Other Bills: 2)</w:t>
            </w:r>
          </w:p>
        </w:tc>
      </w:tr>
    </w:tbl>
    <w:p w:rsidR="00000000" w:rsidRDefault="002D61D9">
      <w:pPr>
        <w:rPr>
          <w:sz w:val="18"/>
        </w:rPr>
      </w:pPr>
    </w:p>
    <w:p w:rsidR="00000000" w:rsidRDefault="002D61D9">
      <w:pPr>
        <w:rPr>
          <w:sz w:val="18"/>
        </w:rPr>
      </w:pPr>
      <w:r>
        <w:rPr>
          <w:sz w:val="18"/>
        </w:rPr>
        <w:br w:type="page"/>
      </w:r>
    </w:p>
    <w:tbl>
      <w:tblPr>
        <w:tblW w:w="5000" w:type="pct"/>
        <w:tblCellSpacing w:w="15" w:type="dxa"/>
        <w:tblCellMar>
          <w:top w:w="15" w:type="dxa"/>
          <w:left w:w="15" w:type="dxa"/>
          <w:bottom w:w="15" w:type="dxa"/>
          <w:right w:w="15" w:type="dxa"/>
        </w:tblCellMar>
        <w:tblLook w:val="0000"/>
      </w:tblPr>
      <w:tblGrid>
        <w:gridCol w:w="2199"/>
        <w:gridCol w:w="6492"/>
        <w:gridCol w:w="2199"/>
      </w:tblGrid>
      <w:tr w:rsidR="00000000">
        <w:trPr>
          <w:tblCellSpacing w:w="15" w:type="dxa"/>
        </w:trPr>
        <w:tc>
          <w:tcPr>
            <w:tcW w:w="1000" w:type="pct"/>
            <w:vAlign w:val="center"/>
          </w:tcPr>
          <w:p w:rsidR="00000000" w:rsidRDefault="002D61D9">
            <w:pPr>
              <w:rPr>
                <w:rFonts w:ascii="Arial" w:hAnsi="Arial" w:cs="Arial"/>
                <w:color w:val="000000"/>
                <w:sz w:val="14"/>
                <w:szCs w:val="14"/>
              </w:rPr>
            </w:pPr>
          </w:p>
        </w:tc>
        <w:tc>
          <w:tcPr>
            <w:tcW w:w="3000" w:type="pct"/>
            <w:vAlign w:val="center"/>
          </w:tcPr>
          <w:p w:rsidR="00000000" w:rsidRDefault="002D61D9">
            <w:pPr>
              <w:jc w:val="center"/>
              <w:rPr>
                <w:rFonts w:ascii="Arial" w:hAnsi="Arial" w:cs="Arial"/>
                <w:color w:val="000000"/>
                <w:sz w:val="14"/>
                <w:szCs w:val="14"/>
              </w:rPr>
            </w:pPr>
            <w:r>
              <w:rPr>
                <w:rFonts w:ascii="Arial" w:hAnsi="Arial" w:cs="Arial"/>
                <w:color w:val="000000"/>
                <w:sz w:val="14"/>
                <w:szCs w:val="14"/>
              </w:rPr>
              <w:t>Legislative Information System</w:t>
            </w:r>
          </w:p>
        </w:tc>
        <w:tc>
          <w:tcPr>
            <w:tcW w:w="1000" w:type="pct"/>
            <w:vAlign w:val="center"/>
          </w:tcPr>
          <w:p w:rsidR="00000000" w:rsidRDefault="002D61D9">
            <w:pPr>
              <w:jc w:val="right"/>
              <w:rPr>
                <w:rFonts w:ascii="Arial" w:hAnsi="Arial" w:cs="Arial"/>
                <w:color w:val="000000"/>
                <w:sz w:val="14"/>
                <w:szCs w:val="14"/>
              </w:rPr>
            </w:pPr>
            <w:r>
              <w:rPr>
                <w:rFonts w:ascii="Arial" w:hAnsi="Arial" w:cs="Arial"/>
                <w:color w:val="000000"/>
                <w:sz w:val="14"/>
                <w:szCs w:val="14"/>
              </w:rPr>
              <w:t>11/27/2010</w:t>
            </w:r>
          </w:p>
        </w:tc>
      </w:tr>
      <w:tr w:rsidR="00000000">
        <w:trPr>
          <w:tblCellSpacing w:w="15" w:type="dxa"/>
        </w:trPr>
        <w:tc>
          <w:tcPr>
            <w:tcW w:w="1000" w:type="pct"/>
            <w:vAlign w:val="center"/>
          </w:tcPr>
          <w:p w:rsidR="00000000" w:rsidRDefault="002D61D9">
            <w:pPr>
              <w:rPr>
                <w:rFonts w:ascii="Arial" w:hAnsi="Arial" w:cs="Arial"/>
                <w:color w:val="000000"/>
                <w:sz w:val="14"/>
                <w:szCs w:val="14"/>
              </w:rPr>
            </w:pPr>
          </w:p>
        </w:tc>
        <w:tc>
          <w:tcPr>
            <w:tcW w:w="3000" w:type="pct"/>
            <w:vAlign w:val="center"/>
          </w:tcPr>
          <w:p w:rsidR="00000000" w:rsidRDefault="002D61D9">
            <w:pPr>
              <w:jc w:val="center"/>
              <w:rPr>
                <w:rFonts w:ascii="Arial" w:hAnsi="Arial" w:cs="Arial"/>
                <w:color w:val="000000"/>
                <w:sz w:val="14"/>
                <w:szCs w:val="14"/>
              </w:rPr>
            </w:pPr>
            <w:r>
              <w:rPr>
                <w:rFonts w:ascii="Arial" w:hAnsi="Arial" w:cs="Arial"/>
                <w:color w:val="000000"/>
                <w:sz w:val="14"/>
                <w:szCs w:val="14"/>
              </w:rPr>
              <w:t>96th General Assembly</w:t>
            </w:r>
          </w:p>
        </w:tc>
        <w:tc>
          <w:tcPr>
            <w:tcW w:w="1000" w:type="pct"/>
            <w:vAlign w:val="center"/>
          </w:tcPr>
          <w:p w:rsidR="00000000" w:rsidRDefault="002D61D9">
            <w:pPr>
              <w:jc w:val="right"/>
              <w:rPr>
                <w:rFonts w:ascii="Arial" w:hAnsi="Arial" w:cs="Arial"/>
                <w:color w:val="000000"/>
                <w:sz w:val="14"/>
                <w:szCs w:val="14"/>
              </w:rPr>
            </w:pPr>
            <w:r>
              <w:rPr>
                <w:rFonts w:ascii="Arial" w:hAnsi="Arial" w:cs="Arial"/>
                <w:color w:val="000000"/>
                <w:sz w:val="14"/>
                <w:szCs w:val="14"/>
              </w:rPr>
              <w:t>2:45:27 PM</w:t>
            </w:r>
          </w:p>
        </w:tc>
      </w:tr>
      <w:tr w:rsidR="00000000">
        <w:trPr>
          <w:tblCellSpacing w:w="15" w:type="dxa"/>
        </w:trPr>
        <w:tc>
          <w:tcPr>
            <w:tcW w:w="1000" w:type="pct"/>
            <w:vAlign w:val="center"/>
          </w:tcPr>
          <w:p w:rsidR="00000000" w:rsidRDefault="002D61D9">
            <w:pPr>
              <w:rPr>
                <w:rFonts w:ascii="Arial" w:hAnsi="Arial" w:cs="Arial"/>
                <w:color w:val="000000"/>
                <w:sz w:val="14"/>
                <w:szCs w:val="14"/>
              </w:rPr>
            </w:pPr>
          </w:p>
        </w:tc>
        <w:tc>
          <w:tcPr>
            <w:tcW w:w="3000" w:type="pct"/>
            <w:vAlign w:val="center"/>
          </w:tcPr>
          <w:p w:rsidR="00000000" w:rsidRDefault="002D61D9">
            <w:pPr>
              <w:jc w:val="center"/>
              <w:rPr>
                <w:rFonts w:ascii="Arial" w:hAnsi="Arial" w:cs="Arial"/>
                <w:color w:val="000000"/>
                <w:sz w:val="14"/>
                <w:szCs w:val="14"/>
              </w:rPr>
            </w:pPr>
            <w:r>
              <w:rPr>
                <w:rFonts w:ascii="Arial" w:hAnsi="Arial" w:cs="Arial"/>
                <w:b/>
                <w:bCs/>
                <w:color w:val="000000"/>
                <w:sz w:val="14"/>
                <w:szCs w:val="14"/>
              </w:rPr>
              <w:t>Not in Rules(orig chmbr)/</w:t>
            </w:r>
            <w:r>
              <w:rPr>
                <w:rFonts w:ascii="Arial" w:hAnsi="Arial" w:cs="Arial"/>
                <w:b/>
                <w:bCs/>
                <w:color w:val="000000"/>
                <w:sz w:val="14"/>
                <w:szCs w:val="14"/>
              </w:rPr>
              <w:t>Not Re-referred(opp) (Bill Order)</w:t>
            </w:r>
          </w:p>
        </w:tc>
        <w:tc>
          <w:tcPr>
            <w:tcW w:w="1000" w:type="pct"/>
            <w:vAlign w:val="center"/>
          </w:tcPr>
          <w:p w:rsidR="00000000" w:rsidRDefault="002D61D9">
            <w:pPr>
              <w:rPr>
                <w:rFonts w:ascii="Arial" w:hAnsi="Arial" w:cs="Arial"/>
                <w:color w:val="000000"/>
                <w:sz w:val="14"/>
                <w:szCs w:val="14"/>
              </w:rPr>
            </w:pPr>
          </w:p>
        </w:tc>
      </w:tr>
      <w:tr w:rsidR="00000000">
        <w:trPr>
          <w:tblCellSpacing w:w="15" w:type="dxa"/>
        </w:trPr>
        <w:tc>
          <w:tcPr>
            <w:tcW w:w="1000" w:type="pct"/>
            <w:vAlign w:val="center"/>
          </w:tcPr>
          <w:p w:rsidR="00000000" w:rsidRDefault="002D61D9">
            <w:pPr>
              <w:rPr>
                <w:rFonts w:ascii="Arial" w:hAnsi="Arial" w:cs="Arial"/>
                <w:color w:val="000000"/>
                <w:sz w:val="14"/>
                <w:szCs w:val="14"/>
              </w:rPr>
            </w:pPr>
            <w:r>
              <w:rPr>
                <w:rFonts w:ascii="Arial" w:hAnsi="Arial" w:cs="Arial"/>
                <w:color w:val="000000"/>
                <w:sz w:val="14"/>
                <w:szCs w:val="14"/>
              </w:rPr>
              <w:t>Both Chambers</w:t>
            </w:r>
          </w:p>
        </w:tc>
        <w:tc>
          <w:tcPr>
            <w:tcW w:w="3000" w:type="pct"/>
            <w:vAlign w:val="center"/>
          </w:tcPr>
          <w:p w:rsidR="00000000" w:rsidRDefault="002D61D9">
            <w:pPr>
              <w:jc w:val="center"/>
              <w:rPr>
                <w:rFonts w:ascii="Arial" w:hAnsi="Arial" w:cs="Arial"/>
                <w:color w:val="000000"/>
                <w:sz w:val="14"/>
                <w:szCs w:val="14"/>
              </w:rPr>
            </w:pPr>
            <w:r>
              <w:rPr>
                <w:rFonts w:ascii="Arial" w:hAnsi="Arial" w:cs="Arial"/>
                <w:b/>
                <w:bCs/>
                <w:color w:val="000000"/>
                <w:sz w:val="14"/>
                <w:szCs w:val="14"/>
              </w:rPr>
              <w:t>OT’s</w:t>
            </w:r>
          </w:p>
        </w:tc>
        <w:tc>
          <w:tcPr>
            <w:tcW w:w="1000" w:type="pct"/>
            <w:vAlign w:val="center"/>
          </w:tcPr>
          <w:p w:rsidR="00000000" w:rsidRDefault="002D61D9">
            <w:pPr>
              <w:rPr>
                <w:rFonts w:ascii="Arial" w:hAnsi="Arial" w:cs="Arial"/>
                <w:color w:val="000000"/>
                <w:sz w:val="14"/>
                <w:szCs w:val="14"/>
              </w:rPr>
            </w:pPr>
          </w:p>
        </w:tc>
      </w:tr>
    </w:tbl>
    <w:p w:rsidR="00000000" w:rsidRDefault="002D61D9">
      <w:r>
        <w:pict>
          <v:rect id="_x0000_i1089" style="width:0;height:1.5pt" o:hralign="center" o:hrstd="t" o:hr="t" fillcolor="#a0a0a0" stroked="f"/>
        </w:pict>
      </w:r>
    </w:p>
    <w:p w:rsidR="00000000" w:rsidRDefault="002D61D9">
      <w:pPr>
        <w:spacing w:after="240"/>
      </w:pPr>
      <w:r>
        <w:rPr>
          <w:rStyle w:val="heading"/>
        </w:rPr>
        <w:t xml:space="preserve">HB 4737 </w:t>
      </w:r>
      <w:r>
        <w:br/>
      </w:r>
      <w:r>
        <w:br/>
      </w:r>
      <w:r>
        <w:rPr>
          <w:rStyle w:val="heading2"/>
        </w:rPr>
        <w:t>Short Description:</w:t>
      </w:r>
      <w:r>
        <w:t>  </w:t>
      </w:r>
      <w:r>
        <w:rPr>
          <w:rStyle w:val="content"/>
        </w:rPr>
        <w:t>ST GROUP INS-PHYSICAL THERAPY</w:t>
      </w:r>
      <w:r>
        <w:br/>
      </w:r>
      <w:r>
        <w:br/>
      </w:r>
      <w:r>
        <w:rPr>
          <w:rStyle w:val="heading2"/>
        </w:rPr>
        <w:t>House Sponsors</w:t>
      </w:r>
      <w:r>
        <w:br/>
      </w:r>
      <w:r>
        <w:rPr>
          <w:rStyle w:val="content"/>
        </w:rPr>
        <w:t>Rep. Betsy Hannig-Jim Watson-Monique D. Davis-Michael J. Madigan, Dan Reitz, Brandon W. Phelps, Raymond Poe, Rich Brauer,</w:t>
      </w:r>
      <w:r>
        <w:rPr>
          <w:rStyle w:val="content"/>
        </w:rPr>
        <w:t xml:space="preserve"> Daniel V. Beiser, Sara Feigenholtz, Robert Rita, Arthur L. Turner and Kevin A. McCarthy</w:t>
      </w:r>
      <w:r>
        <w:br/>
      </w:r>
      <w:r>
        <w:br/>
      </w:r>
      <w:r>
        <w:rPr>
          <w:rStyle w:val="heading2"/>
        </w:rPr>
        <w:t>Senate Sponsors</w:t>
      </w:r>
      <w:r>
        <w:br/>
      </w:r>
      <w:r>
        <w:rPr>
          <w:rStyle w:val="content"/>
        </w:rPr>
        <w:t>(Sen. William R. Haine-Deanna Demuzio)</w:t>
      </w:r>
    </w:p>
    <w:p w:rsidR="00000000" w:rsidRDefault="002D61D9">
      <w:pPr>
        <w:pStyle w:val="NormalWeb"/>
      </w:pPr>
      <w:r>
        <w:rPr>
          <w:rStyle w:val="heading2"/>
        </w:rPr>
        <w:t>Synopsis As Introduced</w:t>
      </w:r>
      <w:r>
        <w:br/>
      </w:r>
      <w:r>
        <w:rPr>
          <w:rStyle w:val="content"/>
        </w:rPr>
        <w:t>      Amends the State Employees Group Insurance Act of 1971. Requires that the Act's he</w:t>
      </w:r>
      <w:r>
        <w:rPr>
          <w:rStyle w:val="content"/>
        </w:rPr>
        <w:t>alth benefits program include coverage of medically necessary physical therapy that is aimed at sustaining a reasonably achievable level of functioning. Defines terms and specifies rights and duties of the insurer.</w:t>
      </w:r>
      <w:r>
        <w:br/>
      </w:r>
      <w:r>
        <w:br/>
      </w:r>
      <w:r>
        <w:rPr>
          <w:rStyle w:val="heading2"/>
        </w:rPr>
        <w:t>House Floor Amendment No. 2</w:t>
      </w:r>
      <w:r>
        <w:br/>
      </w:r>
      <w:r>
        <w:rPr>
          <w:rStyle w:val="content"/>
        </w:rPr>
        <w:t>     Deletes</w:t>
      </w:r>
      <w:r>
        <w:rPr>
          <w:rStyle w:val="content"/>
        </w:rPr>
        <w:t xml:space="preserve"> everything after the enacting clause. Amends the State Employees Group Insurance Act of 1971. Requires that the program of group health benefits include coverage of medically necessary physical and occupational therapy ordered or referred by a licensed ph</w:t>
      </w:r>
      <w:r>
        <w:rPr>
          <w:rStyle w:val="content"/>
        </w:rPr>
        <w:t>ysician, physician's assistant, or advanced practice nurse.</w:t>
      </w:r>
      <w:r>
        <w:br/>
      </w:r>
      <w:r>
        <w:br/>
      </w:r>
      <w:r>
        <w:rPr>
          <w:rStyle w:val="heading2"/>
        </w:rPr>
        <w:t>Last Action</w:t>
      </w:r>
      <w:bookmarkStart w:id="0" w:name="actions"/>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7/23/2010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96-1227</w:t>
            </w:r>
          </w:p>
        </w:tc>
      </w:tr>
    </w:tbl>
    <w:p w:rsidR="00000000" w:rsidRDefault="002D61D9">
      <w:pPr>
        <w:pStyle w:val="NormalWeb"/>
      </w:pPr>
    </w:p>
    <w:p w:rsidR="00000000" w:rsidRDefault="002D61D9">
      <w:r>
        <w:pict>
          <v:rect id="_x0000_i1090" style="width:0;height:1.5pt" o:hralign="center" o:hrstd="t" o:hr="t" fillcolor="#a0a0a0" stroked="f"/>
        </w:pict>
      </w:r>
    </w:p>
    <w:p w:rsidR="00000000" w:rsidRDefault="002D61D9">
      <w:pPr>
        <w:spacing w:after="240"/>
      </w:pPr>
      <w:r>
        <w:rPr>
          <w:rStyle w:val="heading"/>
        </w:rPr>
        <w:t xml:space="preserve">HB 4924 </w:t>
      </w:r>
      <w:r>
        <w:br/>
      </w:r>
      <w:r>
        <w:br/>
      </w:r>
      <w:r>
        <w:rPr>
          <w:rStyle w:val="heading2"/>
        </w:rPr>
        <w:t>Short Description:</w:t>
      </w:r>
      <w:r>
        <w:t>  </w:t>
      </w:r>
      <w:r>
        <w:rPr>
          <w:rStyle w:val="content"/>
        </w:rPr>
        <w:t>INS CD-COCHLEAR &amp; HEARING IMPL</w:t>
      </w:r>
      <w:r>
        <w:br/>
      </w:r>
      <w:r>
        <w:br/>
      </w:r>
      <w:r>
        <w:rPr>
          <w:rStyle w:val="heading2"/>
        </w:rPr>
        <w:t>House Sponsors</w:t>
      </w:r>
      <w:r>
        <w:br/>
      </w:r>
      <w:r>
        <w:rPr>
          <w:rStyle w:val="content"/>
        </w:rPr>
        <w:t>Rep. Rosemary Mulligan-E</w:t>
      </w:r>
      <w:r>
        <w:rPr>
          <w:rStyle w:val="content"/>
        </w:rPr>
        <w:t>lizabeth Coulson-Michael K. Smith-Patricia R. Bellock-Sandra M. Pihos, Sandy Cole, Jehan A. Gordon, Esther Golar, Linda Chapa LaVia and Julie Hamos</w:t>
      </w:r>
      <w:r>
        <w:br/>
      </w:r>
      <w:r>
        <w:br/>
      </w:r>
      <w:r>
        <w:rPr>
          <w:rStyle w:val="heading2"/>
        </w:rPr>
        <w:t>Senate Sponsors</w:t>
      </w:r>
      <w:r>
        <w:br/>
      </w:r>
      <w:r>
        <w:rPr>
          <w:rStyle w:val="content"/>
        </w:rPr>
        <w:t>(Sen. Jeffrey M. Schoenberg)</w:t>
      </w:r>
    </w:p>
    <w:p w:rsidR="00000000" w:rsidRDefault="002D61D9">
      <w:pPr>
        <w:pStyle w:val="NormalWeb"/>
      </w:pPr>
      <w:r>
        <w:rPr>
          <w:rStyle w:val="heading2"/>
        </w:rPr>
        <w:t>Synopsis As Introduced</w:t>
      </w:r>
      <w:r>
        <w:br/>
      </w:r>
      <w:r>
        <w:rPr>
          <w:rStyle w:val="content"/>
        </w:rPr>
        <w:t>      Amends the Illinois Insurance Cod</w:t>
      </w:r>
      <w:r>
        <w:rPr>
          <w:rStyle w:val="content"/>
        </w:rPr>
        <w:t>e, the Health Maintenance Organization Act, and the Voluntary Health Services Plans Act. Provides that group and individual policies of accident and health insurance and managed care plans must provide coverage for (1) operations to implant cochlear implan</w:t>
      </w:r>
      <w:r>
        <w:rPr>
          <w:rStyle w:val="content"/>
        </w:rPr>
        <w:t>ts and post-treatment services for children identified within one year of birth as being deaf or hearing impaired and (2) audiological services and hearing aids for children up to 18 years of age. Contains a nonacceleration clause. Makes other changes.</w:t>
      </w:r>
      <w:r>
        <w:br/>
      </w:r>
      <w:r>
        <w:br/>
      </w:r>
      <w:r>
        <w:rPr>
          <w:rStyle w:val="heading2"/>
        </w:rPr>
        <w:t>Ho</w:t>
      </w:r>
      <w:r>
        <w:rPr>
          <w:rStyle w:val="heading2"/>
        </w:rPr>
        <w:t>use Floor Amendment No. 1</w:t>
      </w:r>
      <w:r>
        <w:br/>
      </w:r>
      <w:r>
        <w:rPr>
          <w:rStyle w:val="content"/>
        </w:rPr>
        <w:t xml:space="preserve">     Provides that group and individual policies of accident and health insurance and managed care plans must provide coverage for an operation to implant cochlear implants and cochlear devices and provide post-treatment services </w:t>
      </w:r>
      <w:r>
        <w:rPr>
          <w:rStyle w:val="content"/>
        </w:rPr>
        <w:t xml:space="preserve">(instead of coverage for an operation to implant cochlear implants and post-treatment services for children identified within one </w:t>
      </w:r>
      <w:r>
        <w:rPr>
          <w:rStyle w:val="content"/>
        </w:rPr>
        <w:lastRenderedPageBreak/>
        <w:t>year of birth as being deaf or hearing impaired). Provides that the services must be provided by a speech pathologist, audiolo</w:t>
      </w:r>
      <w:r>
        <w:rPr>
          <w:rStyle w:val="content"/>
        </w:rPr>
        <w:t>gist, or physician licensed to practice in this State.</w:t>
      </w:r>
      <w:r>
        <w:br/>
      </w:r>
      <w:r>
        <w:br/>
      </w:r>
      <w:r>
        <w:rPr>
          <w:rStyle w:val="heading2"/>
        </w:rPr>
        <w:t>House Floor Amendment No. 2</w:t>
      </w:r>
      <w:r>
        <w:br/>
      </w:r>
      <w:r>
        <w:rPr>
          <w:rStyle w:val="content"/>
        </w:rPr>
        <w:t>     Changes a reference of speech pathologist to speech-language pathologist.</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4/20/2010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Referred to Assignments</w:t>
            </w:r>
          </w:p>
        </w:tc>
      </w:tr>
    </w:tbl>
    <w:p w:rsidR="00000000" w:rsidRDefault="002D61D9">
      <w:pPr>
        <w:pStyle w:val="NormalWeb"/>
      </w:pPr>
    </w:p>
    <w:p w:rsidR="00000000" w:rsidRDefault="002D61D9">
      <w:r>
        <w:pict>
          <v:rect id="_x0000_i1091" style="width:0;height:1.5pt" o:hralign="center" o:hrstd="t" o:hr="t" fillcolor="#a0a0a0" stroked="f"/>
        </w:pict>
      </w:r>
    </w:p>
    <w:p w:rsidR="00000000" w:rsidRDefault="002D61D9">
      <w:pPr>
        <w:spacing w:after="240"/>
      </w:pPr>
      <w:r>
        <w:rPr>
          <w:rStyle w:val="heading"/>
        </w:rPr>
        <w:t xml:space="preserve">HB 4935 </w:t>
      </w:r>
      <w:r>
        <w:br/>
      </w:r>
      <w:r>
        <w:br/>
      </w:r>
      <w:r>
        <w:rPr>
          <w:rStyle w:val="heading2"/>
        </w:rPr>
        <w:t>Short Description:</w:t>
      </w:r>
      <w:r>
        <w:t>  </w:t>
      </w:r>
      <w:r>
        <w:rPr>
          <w:rStyle w:val="content"/>
        </w:rPr>
        <w:t>HEALTHCARE JOBS-FEE SPLITTING</w:t>
      </w:r>
      <w:r>
        <w:br/>
      </w:r>
      <w:r>
        <w:br/>
      </w:r>
      <w:r>
        <w:rPr>
          <w:rStyle w:val="heading2"/>
        </w:rPr>
        <w:t>House Sponsors</w:t>
      </w:r>
      <w:r>
        <w:br/>
      </w:r>
      <w:r>
        <w:rPr>
          <w:rStyle w:val="content"/>
        </w:rPr>
        <w:t>Rep. Dan Reitz-Angelo Saviano-Thomas Holbrook-Patricia R. Bellock-Robert F. Flider, Naomi D. Jakobsson, JoAnn D. Osmond, Sandra M. Pihos, Patrick J. Verschoore, Renée Kosel, Linda Chapa LaVi</w:t>
      </w:r>
      <w:r>
        <w:rPr>
          <w:rStyle w:val="content"/>
        </w:rPr>
        <w:t>a, Lisa M. Dugan, Randy Ramey, Jr., David E. Miller, Rich Brauer, André M. Thapedi and Carol A. Sente</w:t>
      </w:r>
      <w:r>
        <w:br/>
      </w:r>
      <w:r>
        <w:br/>
      </w:r>
      <w:r>
        <w:rPr>
          <w:rStyle w:val="heading2"/>
        </w:rPr>
        <w:t>Senate Sponsors</w:t>
      </w:r>
      <w:r>
        <w:br/>
      </w:r>
      <w:r>
        <w:rPr>
          <w:rStyle w:val="content"/>
        </w:rPr>
        <w:t>(Sen. Michael W. Frerichs)</w:t>
      </w:r>
    </w:p>
    <w:p w:rsidR="00000000" w:rsidRDefault="002D61D9">
      <w:pPr>
        <w:pStyle w:val="NormalWeb"/>
      </w:pPr>
      <w:r>
        <w:rPr>
          <w:rStyle w:val="heading2"/>
        </w:rPr>
        <w:t>Synopsis As Introduced</w:t>
      </w:r>
      <w:r>
        <w:br/>
      </w:r>
      <w:r>
        <w:rPr>
          <w:rStyle w:val="content"/>
        </w:rPr>
        <w:t>      Amends several Acts that regulate the medical and healthcare professions. In a pr</w:t>
      </w:r>
      <w:r>
        <w:rPr>
          <w:rStyle w:val="content"/>
        </w:rPr>
        <w:t>ovision in those Acts concerning fee-splitting or directly or indirectly giving to or receiving from certain persons or entities any fee, commission, rebate, or other form of compensation for any professional services not actually or personally rendered, p</w:t>
      </w:r>
      <w:r>
        <w:rPr>
          <w:rStyle w:val="content"/>
        </w:rPr>
        <w:t xml:space="preserve">rovides that the provision does not prohibit contractual or employment arrangements with health care professionals or providers, such as physicians, physician practices, hospitals, long-term care facilities, clinics, or other entities, except as otherwise </w:t>
      </w:r>
      <w:r>
        <w:rPr>
          <w:rStyle w:val="content"/>
        </w:rPr>
        <w:t>prohibited by law. Provides that contractual and employment arrangements with health care professionals or providers may include arrangements for compensation, use of space, staff, equipment, health insurance, pension, or other benefits for the provision o</w:t>
      </w:r>
      <w:r>
        <w:rPr>
          <w:rStyle w:val="content"/>
        </w:rPr>
        <w:t>f services within the scope of the licensee's practice under that specific Act. Amends the Medical Practice Act. Provides that nothing in the Act prohibits physicians, physician practices, or entities authorized by law to employ physicians from also employ</w:t>
      </w:r>
      <w:r>
        <w:rPr>
          <w:rStyle w:val="content"/>
        </w:rPr>
        <w:t>ing other licensed health care workers and other persons. Effective immediately.</w:t>
      </w:r>
      <w:r>
        <w:br/>
      </w:r>
      <w:r>
        <w:br/>
      </w:r>
      <w:r>
        <w:rPr>
          <w:rStyle w:val="heading2"/>
        </w:rPr>
        <w:t>House Committee Amendment No. 1</w:t>
      </w:r>
      <w:r>
        <w:br/>
      </w:r>
      <w:r>
        <w:rPr>
          <w:rStyle w:val="content"/>
        </w:rPr>
        <w:t>     In all of the Acts included in the amendatory Act, other than the Medical Practice Act of 1987, amends a provision concerning fee-splitti</w:t>
      </w:r>
      <w:r>
        <w:rPr>
          <w:rStyle w:val="content"/>
        </w:rPr>
        <w:t>ng or directly or indirectly giving to or receiving from certain persons or entities any fee, commission, rebate, or other form of compensation for any professional services not actually or personally rendered. Provides that nothing in the provision affect</w:t>
      </w:r>
      <w:r>
        <w:rPr>
          <w:rStyle w:val="content"/>
        </w:rPr>
        <w:t>s any bona fide independent contractor or employment arrangements among health care professionals, health facilities, health care providers, or other entities, except as otherwise prohibited by law. Provides that any employment arrangements may include pro</w:t>
      </w:r>
      <w:r>
        <w:rPr>
          <w:rStyle w:val="content"/>
        </w:rPr>
        <w:t>visions for compensation, health insurance, pension, or other employment benefits for the provision of services within the scope of the licensee's practice under the Act. In all of the Acts included in the amendatory Act, other than the Medical Practice Ac</w:t>
      </w:r>
      <w:r>
        <w:rPr>
          <w:rStyle w:val="content"/>
        </w:rPr>
        <w:t xml:space="preserve">t of 1987 and the Physician Assistant Practice Act of 1987, provides that nothing in the provision shall be construed to require an employment arrangement to receive professional fees for services rendered. Amends the Health Care Worker Self-Referral Act. </w:t>
      </w:r>
      <w:r>
        <w:rPr>
          <w:rStyle w:val="content"/>
        </w:rPr>
        <w:t>Sets forth provision that, with respect to statutorily required referrals for physical therapy services, occupational therapy services, athletic trainer services, or genetic counselor services, a patient shall be informed that he or she may request a refer</w:t>
      </w:r>
      <w:r>
        <w:rPr>
          <w:rStyle w:val="content"/>
        </w:rPr>
        <w:t>ral for these services outside or independent of the authorized referring health care worker's group practice, facility, or health professional's or provider's office.</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968"/>
        <w:gridCol w:w="945"/>
        <w:gridCol w:w="5287"/>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lastRenderedPageBreak/>
              <w:t>  </w:t>
            </w:r>
            <w:r>
              <w:rPr>
                <w:rFonts w:ascii="Arial" w:hAnsi="Arial" w:cs="Arial"/>
                <w:b/>
                <w:bCs/>
                <w:color w:val="000000"/>
                <w:sz w:val="20"/>
                <w:szCs w:val="20"/>
              </w:rPr>
              <w:t>4/6/2010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Referred to Assignments</w:t>
            </w:r>
          </w:p>
        </w:tc>
      </w:tr>
    </w:tbl>
    <w:p w:rsidR="00000000" w:rsidRDefault="002D61D9">
      <w:pPr>
        <w:pStyle w:val="NormalWeb"/>
      </w:pPr>
    </w:p>
    <w:p w:rsidR="00000000" w:rsidRDefault="002D61D9">
      <w:r>
        <w:pict>
          <v:rect id="_x0000_i1092" style="width:0;height:1.5pt" o:hralign="center" o:hrstd="t" o:hr="t" fillcolor="#a0a0a0" stroked="f"/>
        </w:pict>
      </w:r>
    </w:p>
    <w:p w:rsidR="00000000" w:rsidRDefault="002D61D9">
      <w:pPr>
        <w:spacing w:after="240"/>
      </w:pPr>
      <w:r>
        <w:rPr>
          <w:rStyle w:val="heading"/>
        </w:rPr>
        <w:t>HB 512</w:t>
      </w:r>
      <w:r>
        <w:rPr>
          <w:rStyle w:val="heading"/>
        </w:rPr>
        <w:t xml:space="preserve">4 </w:t>
      </w:r>
      <w:r>
        <w:br/>
      </w:r>
      <w:r>
        <w:br/>
      </w:r>
      <w:r>
        <w:rPr>
          <w:rStyle w:val="heading2"/>
        </w:rPr>
        <w:t>Short Description:</w:t>
      </w:r>
      <w:r>
        <w:t>  </w:t>
      </w:r>
      <w:r>
        <w:rPr>
          <w:rStyle w:val="content"/>
        </w:rPr>
        <w:t>DHS-STREAMLINED AUDITING</w:t>
      </w:r>
      <w:r>
        <w:br/>
      </w:r>
      <w:r>
        <w:br/>
      </w:r>
      <w:r>
        <w:rPr>
          <w:rStyle w:val="heading2"/>
        </w:rPr>
        <w:t>House Sponsors</w:t>
      </w:r>
      <w:r>
        <w:br/>
      </w:r>
      <w:r>
        <w:rPr>
          <w:rStyle w:val="content"/>
        </w:rPr>
        <w:t>Rep. Chapin Rose-Naomi D. Jakobsson-Elizabeth Coulson-Karen May-Sandy Cole, David Reis, John D. Cavaletto, Jim Watson, Robert W. Pritchard, Jack D. Franks, Keith Farnham, Linda Chapa LaVia, C</w:t>
      </w:r>
      <w:r>
        <w:rPr>
          <w:rStyle w:val="content"/>
        </w:rPr>
        <w:t>arol A. Sente, Sandra M. Pihos, Lisa M. Dugan, Careen M. Gordon and Dennis M. Reboletti</w:t>
      </w:r>
      <w:r>
        <w:br/>
      </w:r>
      <w:r>
        <w:br/>
      </w:r>
      <w:r>
        <w:rPr>
          <w:rStyle w:val="heading2"/>
        </w:rPr>
        <w:t>Senate Sponsors</w:t>
      </w:r>
      <w:r>
        <w:br/>
      </w:r>
      <w:r>
        <w:rPr>
          <w:rStyle w:val="content"/>
        </w:rPr>
        <w:t>(Sen. Michael Bond-Dan Kotowski-Pamela J. Althoff, Mike Jacobs-David Koehler, John O. Jones, Dan Rutherford, Susan Garrett-Toi W. Hutchinson, M. Maggie</w:t>
      </w:r>
      <w:r>
        <w:rPr>
          <w:rStyle w:val="content"/>
        </w:rPr>
        <w:t xml:space="preserve"> Crotty, Deanna Demuzio and Linda Holmes)</w:t>
      </w:r>
    </w:p>
    <w:p w:rsidR="00000000" w:rsidRDefault="002D61D9">
      <w:pPr>
        <w:pStyle w:val="NormalWeb"/>
        <w:spacing w:after="240" w:afterAutospacing="0"/>
      </w:pPr>
      <w:r>
        <w:rPr>
          <w:rStyle w:val="heading2"/>
        </w:rPr>
        <w:t>Synopsis As Introduced</w:t>
      </w:r>
      <w:r>
        <w:br/>
      </w:r>
      <w:r>
        <w:rPr>
          <w:rStyle w:val="content"/>
        </w:rPr>
        <w:t xml:space="preserve">      Amends the Department of Human Services Act. Requires the Department of Human Services, in cooperation with the Department of Healthcare and Family Services, to develop and implement a </w:t>
      </w:r>
      <w:r>
        <w:rPr>
          <w:rStyle w:val="content"/>
        </w:rPr>
        <w:t>streamlined auditing and accreditation system to reduce the need for community providers to undergo audits from multiple licensing or accreditation systems. Provides that the streamlined system shall, to the extent possible, utilize one auditing group to p</w:t>
      </w:r>
      <w:r>
        <w:rPr>
          <w:rStyle w:val="content"/>
        </w:rPr>
        <w:t>rovide uniformity from one organization to the next and from one year to the next.</w:t>
      </w:r>
      <w:r>
        <w:br/>
      </w:r>
      <w:r>
        <w:br/>
      </w:r>
      <w:r>
        <w:rPr>
          <w:rStyle w:val="heading2"/>
        </w:rPr>
        <w:t>House Floor Amendment No. 1</w:t>
      </w:r>
      <w:r>
        <w:br/>
      </w:r>
      <w:r>
        <w:rPr>
          <w:rStyle w:val="content"/>
        </w:rPr>
        <w:t>     Replaces everything after the enacting clause. Amends the Children and Family Services Act, the Department of Human Services Act, the Depar</w:t>
      </w:r>
      <w:r>
        <w:rPr>
          <w:rStyle w:val="content"/>
        </w:rPr>
        <w:t>tment of Healthcare and Family Services Law, and the Department of Public Health Powers and Duties Law. Requires the Department of Children and Family Services, the Department of Human Services, the Department of Healthcare and Family Services, and the Dep</w:t>
      </w:r>
      <w:r>
        <w:rPr>
          <w:rStyle w:val="content"/>
        </w:rPr>
        <w:t xml:space="preserve">artment of Public Health to conduct an internal review and coordinate with each other to file a unified report with the General Assembly summarizing the provider contracts issued by the agencies; auditing requirements related to these contracts; licensing </w:t>
      </w:r>
      <w:r>
        <w:rPr>
          <w:rStyle w:val="content"/>
        </w:rPr>
        <w:t>and training requirements subject to audits; mandated reporting requirements for grant recipients and contractual providers; the extent to which audits or rules are redundant or result in duplication; and proposed actions to address the redundancy or dupli</w:t>
      </w:r>
      <w:r>
        <w:rPr>
          <w:rStyle w:val="content"/>
        </w:rPr>
        <w:t>cation. Provides that the Department of Human Services shall serve as the lead agency in the development of the unified report and that the proposed actions shall seek to accomplish the development of a streamlined auditing and accreditation system and the</w:t>
      </w:r>
      <w:r>
        <w:rPr>
          <w:rStyle w:val="content"/>
        </w:rPr>
        <w:t xml:space="preserve"> streamlining of agency rules to reduce administrative costs associated with multiple and duplicative program and accreditation audits and duplication in agency oversight. Contains provisions concerning information that shall be included in the unified rep</w:t>
      </w:r>
      <w:r>
        <w:rPr>
          <w:rStyle w:val="content"/>
        </w:rPr>
        <w:t>ort; recommendations in the unified report; and the reporting deadline. Effective immediately.</w:t>
      </w:r>
    </w:p>
    <w:tbl>
      <w:tblPr>
        <w:tblW w:w="5000" w:type="pct"/>
        <w:tblCellSpacing w:w="15" w:type="dxa"/>
        <w:tblCellMar>
          <w:top w:w="15" w:type="dxa"/>
          <w:left w:w="15" w:type="dxa"/>
          <w:bottom w:w="15" w:type="dxa"/>
          <w:right w:w="15" w:type="dxa"/>
        </w:tblCellMar>
        <w:tblLook w:val="0000"/>
      </w:tblPr>
      <w:tblGrid>
        <w:gridCol w:w="285"/>
        <w:gridCol w:w="10605"/>
      </w:tblGrid>
      <w:tr w:rsidR="00000000">
        <w:trPr>
          <w:tblCellSpacing w:w="15" w:type="dxa"/>
        </w:trPr>
        <w:tc>
          <w:tcPr>
            <w:tcW w:w="240" w:type="dxa"/>
            <w:vAlign w:val="center"/>
          </w:tcPr>
          <w:p w:rsidR="00000000" w:rsidRDefault="002D61D9">
            <w:r>
              <w:t> </w:t>
            </w:r>
          </w:p>
        </w:tc>
        <w:tc>
          <w:tcPr>
            <w:tcW w:w="0" w:type="auto"/>
            <w:vAlign w:val="center"/>
          </w:tcPr>
          <w:p w:rsidR="00000000" w:rsidRDefault="002D61D9">
            <w:pPr>
              <w:rPr>
                <w:rFonts w:ascii="Arial" w:hAnsi="Arial" w:cs="Arial"/>
                <w:b/>
                <w:bCs/>
                <w:color w:val="000000"/>
                <w:sz w:val="20"/>
                <w:szCs w:val="20"/>
              </w:rPr>
            </w:pPr>
            <w:r>
              <w:rPr>
                <w:rStyle w:val="heading2"/>
              </w:rPr>
              <w:t>Judicial Note (Admin Office of the Illinois Courts)</w:t>
            </w:r>
          </w:p>
        </w:tc>
      </w:tr>
      <w:tr w:rsidR="00000000">
        <w:trPr>
          <w:tblCellSpacing w:w="15" w:type="dxa"/>
        </w:trPr>
        <w:tc>
          <w:tcPr>
            <w:tcW w:w="240" w:type="dxa"/>
            <w:vAlign w:val="center"/>
          </w:tcPr>
          <w:p w:rsidR="00000000" w:rsidRDefault="002D61D9">
            <w:pPr>
              <w:rPr>
                <w:rFonts w:ascii="Arial" w:hAnsi="Arial" w:cs="Arial"/>
                <w:color w:val="000000"/>
                <w:sz w:val="20"/>
                <w:szCs w:val="20"/>
              </w:rPr>
            </w:pPr>
            <w:r>
              <w:rPr>
                <w:rFonts w:ascii="Arial" w:hAnsi="Arial" w:cs="Arial"/>
                <w:color w:val="000000"/>
                <w:sz w:val="20"/>
                <w:szCs w:val="20"/>
              </w:rPr>
              <w:t> </w:t>
            </w:r>
          </w:p>
        </w:tc>
        <w:tc>
          <w:tcPr>
            <w:tcW w:w="0" w:type="auto"/>
            <w:vAlign w:val="center"/>
          </w:tcPr>
          <w:p w:rsidR="00000000" w:rsidRDefault="002D61D9">
            <w:pPr>
              <w:rPr>
                <w:rFonts w:ascii="Arial" w:hAnsi="Arial" w:cs="Arial"/>
                <w:color w:val="000000"/>
                <w:sz w:val="20"/>
                <w:szCs w:val="20"/>
              </w:rPr>
            </w:pPr>
            <w:r>
              <w:rPr>
                <w:rFonts w:ascii="Arial" w:hAnsi="Arial" w:cs="Arial"/>
                <w:color w:val="000000"/>
                <w:sz w:val="20"/>
                <w:szCs w:val="20"/>
              </w:rPr>
              <w:t>This bill would neither increase nor decrease the number of judges needed in the State.</w:t>
            </w:r>
          </w:p>
        </w:tc>
      </w:tr>
    </w:tbl>
    <w:p w:rsidR="00000000" w:rsidRDefault="002D61D9">
      <w:pPr>
        <w:pStyle w:val="NormalWeb"/>
      </w:pPr>
    </w:p>
    <w:tbl>
      <w:tblPr>
        <w:tblW w:w="5000" w:type="pct"/>
        <w:tblCellSpacing w:w="15" w:type="dxa"/>
        <w:tblCellMar>
          <w:top w:w="15" w:type="dxa"/>
          <w:left w:w="15" w:type="dxa"/>
          <w:bottom w:w="15" w:type="dxa"/>
          <w:right w:w="15" w:type="dxa"/>
        </w:tblCellMar>
        <w:tblLook w:val="0000"/>
      </w:tblPr>
      <w:tblGrid>
        <w:gridCol w:w="285"/>
        <w:gridCol w:w="10605"/>
      </w:tblGrid>
      <w:tr w:rsidR="00000000">
        <w:trPr>
          <w:tblCellSpacing w:w="15" w:type="dxa"/>
        </w:trPr>
        <w:tc>
          <w:tcPr>
            <w:tcW w:w="240" w:type="dxa"/>
            <w:vAlign w:val="center"/>
          </w:tcPr>
          <w:p w:rsidR="00000000" w:rsidRDefault="002D61D9">
            <w:r>
              <w:t> </w:t>
            </w:r>
          </w:p>
        </w:tc>
        <w:tc>
          <w:tcPr>
            <w:tcW w:w="0" w:type="auto"/>
            <w:vAlign w:val="center"/>
          </w:tcPr>
          <w:p w:rsidR="00000000" w:rsidRDefault="002D61D9">
            <w:pPr>
              <w:rPr>
                <w:rFonts w:ascii="Arial" w:hAnsi="Arial" w:cs="Arial"/>
                <w:b/>
                <w:bCs/>
                <w:color w:val="000000"/>
                <w:sz w:val="20"/>
                <w:szCs w:val="20"/>
              </w:rPr>
            </w:pPr>
            <w:r>
              <w:rPr>
                <w:rStyle w:val="heading2"/>
              </w:rPr>
              <w:t xml:space="preserve">Fiscal Note </w:t>
            </w:r>
            <w:r>
              <w:rPr>
                <w:rStyle w:val="heading2"/>
              </w:rPr>
              <w:t>(Dept. of Human Services)</w:t>
            </w:r>
          </w:p>
        </w:tc>
      </w:tr>
      <w:tr w:rsidR="00000000">
        <w:trPr>
          <w:tblCellSpacing w:w="15" w:type="dxa"/>
        </w:trPr>
        <w:tc>
          <w:tcPr>
            <w:tcW w:w="240" w:type="dxa"/>
            <w:vAlign w:val="center"/>
          </w:tcPr>
          <w:p w:rsidR="00000000" w:rsidRDefault="002D61D9">
            <w:pPr>
              <w:rPr>
                <w:rFonts w:ascii="Arial" w:hAnsi="Arial" w:cs="Arial"/>
                <w:color w:val="000000"/>
                <w:sz w:val="20"/>
                <w:szCs w:val="20"/>
              </w:rPr>
            </w:pPr>
            <w:r>
              <w:rPr>
                <w:rFonts w:ascii="Arial" w:hAnsi="Arial" w:cs="Arial"/>
                <w:color w:val="000000"/>
                <w:sz w:val="20"/>
                <w:szCs w:val="20"/>
              </w:rPr>
              <w:t> </w:t>
            </w:r>
          </w:p>
        </w:tc>
        <w:tc>
          <w:tcPr>
            <w:tcW w:w="0" w:type="auto"/>
            <w:vAlign w:val="center"/>
          </w:tcPr>
          <w:p w:rsidR="00000000" w:rsidRDefault="002D61D9">
            <w:pPr>
              <w:rPr>
                <w:rFonts w:ascii="Arial" w:hAnsi="Arial" w:cs="Arial"/>
                <w:color w:val="000000"/>
                <w:sz w:val="20"/>
                <w:szCs w:val="20"/>
              </w:rPr>
            </w:pPr>
            <w:r>
              <w:rPr>
                <w:rFonts w:ascii="Arial" w:hAnsi="Arial" w:cs="Arial"/>
                <w:color w:val="000000"/>
                <w:sz w:val="20"/>
                <w:szCs w:val="20"/>
              </w:rPr>
              <w:t xml:space="preserve">This legislation creates no fiscal impact for the Department of Human Services. </w:t>
            </w:r>
          </w:p>
        </w:tc>
      </w:tr>
    </w:tbl>
    <w:p w:rsidR="00000000" w:rsidRDefault="002D61D9">
      <w:pPr>
        <w:pStyle w:val="NormalWeb"/>
      </w:pPr>
    </w:p>
    <w:tbl>
      <w:tblPr>
        <w:tblW w:w="5000" w:type="pct"/>
        <w:tblCellSpacing w:w="15" w:type="dxa"/>
        <w:tblCellMar>
          <w:top w:w="15" w:type="dxa"/>
          <w:left w:w="15" w:type="dxa"/>
          <w:bottom w:w="15" w:type="dxa"/>
          <w:right w:w="15" w:type="dxa"/>
        </w:tblCellMar>
        <w:tblLook w:val="0000"/>
      </w:tblPr>
      <w:tblGrid>
        <w:gridCol w:w="285"/>
        <w:gridCol w:w="10605"/>
      </w:tblGrid>
      <w:tr w:rsidR="00000000">
        <w:trPr>
          <w:tblCellSpacing w:w="15" w:type="dxa"/>
        </w:trPr>
        <w:tc>
          <w:tcPr>
            <w:tcW w:w="240" w:type="dxa"/>
            <w:vAlign w:val="center"/>
          </w:tcPr>
          <w:p w:rsidR="00000000" w:rsidRDefault="002D61D9">
            <w:r>
              <w:t> </w:t>
            </w:r>
          </w:p>
        </w:tc>
        <w:tc>
          <w:tcPr>
            <w:tcW w:w="0" w:type="auto"/>
            <w:vAlign w:val="center"/>
          </w:tcPr>
          <w:p w:rsidR="00000000" w:rsidRDefault="002D61D9">
            <w:pPr>
              <w:rPr>
                <w:rFonts w:ascii="Arial" w:hAnsi="Arial" w:cs="Arial"/>
                <w:b/>
                <w:bCs/>
                <w:color w:val="000000"/>
                <w:sz w:val="20"/>
                <w:szCs w:val="20"/>
              </w:rPr>
            </w:pPr>
            <w:r>
              <w:rPr>
                <w:rStyle w:val="heading2"/>
              </w:rPr>
              <w:t>Balanced Budget Note (Office of Management and Budget)</w:t>
            </w:r>
          </w:p>
        </w:tc>
      </w:tr>
      <w:tr w:rsidR="00000000">
        <w:trPr>
          <w:tblCellSpacing w:w="15" w:type="dxa"/>
        </w:trPr>
        <w:tc>
          <w:tcPr>
            <w:tcW w:w="240" w:type="dxa"/>
            <w:vAlign w:val="center"/>
          </w:tcPr>
          <w:p w:rsidR="00000000" w:rsidRDefault="002D61D9">
            <w:pPr>
              <w:rPr>
                <w:rFonts w:ascii="Arial" w:hAnsi="Arial" w:cs="Arial"/>
                <w:color w:val="000000"/>
                <w:sz w:val="20"/>
                <w:szCs w:val="20"/>
              </w:rPr>
            </w:pPr>
            <w:r>
              <w:rPr>
                <w:rFonts w:ascii="Arial" w:hAnsi="Arial" w:cs="Arial"/>
                <w:color w:val="000000"/>
                <w:sz w:val="20"/>
                <w:szCs w:val="20"/>
              </w:rPr>
              <w:t> </w:t>
            </w:r>
          </w:p>
        </w:tc>
        <w:tc>
          <w:tcPr>
            <w:tcW w:w="0" w:type="auto"/>
            <w:vAlign w:val="center"/>
          </w:tcPr>
          <w:p w:rsidR="00000000" w:rsidRDefault="002D61D9">
            <w:pPr>
              <w:rPr>
                <w:rFonts w:ascii="Arial" w:hAnsi="Arial" w:cs="Arial"/>
                <w:color w:val="000000"/>
                <w:sz w:val="20"/>
                <w:szCs w:val="20"/>
              </w:rPr>
            </w:pPr>
            <w:r>
              <w:rPr>
                <w:rFonts w:ascii="Arial" w:hAnsi="Arial" w:cs="Arial"/>
                <w:color w:val="000000"/>
                <w:sz w:val="20"/>
                <w:szCs w:val="20"/>
              </w:rPr>
              <w:t xml:space="preserve">While there does not appear to be a significant cost to implement the provisions of </w:t>
            </w:r>
            <w:r>
              <w:rPr>
                <w:rFonts w:ascii="Arial" w:hAnsi="Arial" w:cs="Arial"/>
                <w:color w:val="000000"/>
                <w:sz w:val="20"/>
                <w:szCs w:val="20"/>
              </w:rPr>
              <w:t xml:space="preserve">this legislation, there may be a negative impact to federal funding received if the Department ignores certain federal requirements in favor of standardization and streamlining. The amount can not be determined at this time. </w:t>
            </w:r>
          </w:p>
        </w:tc>
      </w:tr>
    </w:tbl>
    <w:p w:rsidR="00000000" w:rsidRDefault="002D61D9">
      <w:pPr>
        <w:pStyle w:val="NormalWeb"/>
      </w:pPr>
      <w:r>
        <w:lastRenderedPageBreak/>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w:t>
            </w:r>
            <w:r>
              <w:rPr>
                <w:rFonts w:ascii="Arial" w:hAnsi="Arial" w:cs="Arial"/>
                <w:b/>
                <w:bCs/>
                <w:color w:val="000000"/>
                <w:sz w:val="20"/>
                <w:szCs w:val="20"/>
              </w:rPr>
              <w:t>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7/21/2010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96-1141</w:t>
            </w:r>
          </w:p>
        </w:tc>
      </w:tr>
    </w:tbl>
    <w:p w:rsidR="00000000" w:rsidRDefault="002D61D9">
      <w:pPr>
        <w:pStyle w:val="NormalWeb"/>
      </w:pPr>
    </w:p>
    <w:p w:rsidR="00000000" w:rsidRDefault="002D61D9">
      <w:r>
        <w:pict>
          <v:rect id="_x0000_i1093" style="width:0;height:1.5pt" o:hralign="center" o:hrstd="t" o:hr="t" fillcolor="#a0a0a0" stroked="f"/>
        </w:pict>
      </w:r>
    </w:p>
    <w:p w:rsidR="00000000" w:rsidRDefault="002D61D9">
      <w:pPr>
        <w:spacing w:after="240"/>
      </w:pPr>
      <w:r>
        <w:rPr>
          <w:rStyle w:val="heading"/>
        </w:rPr>
        <w:t xml:space="preserve">HB 5190 </w:t>
      </w:r>
      <w:r>
        <w:br/>
      </w:r>
      <w:r>
        <w:br/>
      </w:r>
      <w:r>
        <w:rPr>
          <w:rStyle w:val="heading2"/>
        </w:rPr>
        <w:t>Short Description:</w:t>
      </w:r>
      <w:r>
        <w:t>  </w:t>
      </w:r>
      <w:r>
        <w:rPr>
          <w:rStyle w:val="content"/>
        </w:rPr>
        <w:t>SPEECH-LANGUAGE PATHOLOGY</w:t>
      </w:r>
      <w:r>
        <w:br/>
      </w:r>
      <w:r>
        <w:br/>
      </w:r>
      <w:r>
        <w:rPr>
          <w:rStyle w:val="heading2"/>
        </w:rPr>
        <w:t>House Sponsors</w:t>
      </w:r>
      <w:r>
        <w:br/>
      </w:r>
      <w:r>
        <w:rPr>
          <w:rStyle w:val="content"/>
        </w:rPr>
        <w:t>Rep. Mike Fortner</w:t>
      </w:r>
      <w:r>
        <w:br/>
      </w:r>
      <w:r>
        <w:br/>
      </w:r>
      <w:r>
        <w:rPr>
          <w:rStyle w:val="heading2"/>
        </w:rPr>
        <w:t>Senate Sponsors</w:t>
      </w:r>
      <w:r>
        <w:br/>
      </w:r>
      <w:r>
        <w:rPr>
          <w:rStyle w:val="content"/>
        </w:rPr>
        <w:t>(Sen. Kirk W. Dillard)</w:t>
      </w:r>
    </w:p>
    <w:p w:rsidR="00000000" w:rsidRDefault="002D61D9">
      <w:pPr>
        <w:pStyle w:val="NormalWeb"/>
      </w:pPr>
      <w:r>
        <w:rPr>
          <w:rStyle w:val="heading2"/>
        </w:rPr>
        <w:t>Synopsis As Introduced</w:t>
      </w:r>
      <w:r>
        <w:br/>
      </w:r>
      <w:r>
        <w:rPr>
          <w:rStyle w:val="content"/>
        </w:rPr>
        <w:t>      Amends the Illinois Speech-lang</w:t>
      </w:r>
      <w:r>
        <w:rPr>
          <w:rStyle w:val="content"/>
        </w:rPr>
        <w:t>uage Pathology and Audiology Practice Act. In a provision concerning the minimum requirements for speech-language pathology assistant programs, provides that the curriculum must include 24 semester credit hours in general education (now, 36 semester credit</w:t>
      </w:r>
      <w:r>
        <w:rPr>
          <w:rStyle w:val="content"/>
        </w:rPr>
        <w:t xml:space="preserve"> hours) and 36 semester credit hours in technical content areas designed to provide students with knowledge and skills required for speech-language pathology assistants (now, 24 semester credit hours). Provides that any applicant for licensure as a speech-</w:t>
      </w:r>
      <w:r>
        <w:rPr>
          <w:rStyle w:val="content"/>
        </w:rPr>
        <w:t xml:space="preserve">language pathology assistant who applies to the Department prior to the effective date of the amendatory Act or any person who holds a valid license as a speech-language pathology assistant on the effective date of the amendatory Act shall not be required </w:t>
      </w:r>
      <w:r>
        <w:rPr>
          <w:rStyle w:val="content"/>
        </w:rPr>
        <w:t>to meet the new minimum requirements for a speech language pathology assistant program established by the amendatory Act. Effective immediately.</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7/27/2010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96-1315</w:t>
            </w:r>
          </w:p>
        </w:tc>
      </w:tr>
    </w:tbl>
    <w:p w:rsidR="00000000" w:rsidRDefault="002D61D9">
      <w:pPr>
        <w:pStyle w:val="NormalWeb"/>
      </w:pPr>
    </w:p>
    <w:p w:rsidR="00000000" w:rsidRDefault="002D61D9">
      <w:r>
        <w:pict>
          <v:rect id="_x0000_i1094" style="width:0;height:1.5pt" o:hralign="center" o:hrstd="t" o:hr="t" fillcolor="#a0a0a0" stroked="f"/>
        </w:pict>
      </w:r>
    </w:p>
    <w:p w:rsidR="00000000" w:rsidRDefault="002D61D9">
      <w:pPr>
        <w:spacing w:after="240"/>
      </w:pPr>
      <w:r>
        <w:rPr>
          <w:rStyle w:val="heading"/>
        </w:rPr>
        <w:t xml:space="preserve">HB 5394 </w:t>
      </w:r>
      <w:r>
        <w:br/>
      </w:r>
      <w:r>
        <w:br/>
      </w:r>
      <w:r>
        <w:rPr>
          <w:rStyle w:val="heading2"/>
        </w:rPr>
        <w:t xml:space="preserve">Short </w:t>
      </w:r>
      <w:r>
        <w:rPr>
          <w:rStyle w:val="heading2"/>
        </w:rPr>
        <w:t>Description:</w:t>
      </w:r>
      <w:r>
        <w:t>  </w:t>
      </w:r>
      <w:r>
        <w:rPr>
          <w:rStyle w:val="content"/>
        </w:rPr>
        <w:t>CRIM ID-SEALING RECORDS</w:t>
      </w:r>
      <w:r>
        <w:br/>
      </w:r>
      <w:r>
        <w:br/>
      </w:r>
      <w:r>
        <w:rPr>
          <w:rStyle w:val="heading2"/>
        </w:rPr>
        <w:t>House Sponsors</w:t>
      </w:r>
      <w:r>
        <w:br/>
      </w:r>
      <w:r>
        <w:rPr>
          <w:rStyle w:val="content"/>
        </w:rPr>
        <w:t>Rep. Constance A. Howard</w:t>
      </w:r>
    </w:p>
    <w:p w:rsidR="00000000" w:rsidRDefault="002D61D9">
      <w:pPr>
        <w:pStyle w:val="NormalWeb"/>
      </w:pPr>
      <w:r>
        <w:rPr>
          <w:rStyle w:val="heading2"/>
        </w:rPr>
        <w:t>Synopsis As Introduced</w:t>
      </w:r>
      <w:r>
        <w:br/>
      </w:r>
      <w:r>
        <w:rPr>
          <w:rStyle w:val="content"/>
        </w:rPr>
        <w:t xml:space="preserve">      Amends the Criminal Identification Act. Provides that a person convicted of assault or battery may have his or her arrest and court records sealed. </w:t>
      </w:r>
      <w:r>
        <w:rPr>
          <w:rStyle w:val="content"/>
        </w:rPr>
        <w:t>Makes other changes relating to the sealing of records.</w:t>
      </w:r>
      <w:r>
        <w:br/>
      </w:r>
      <w:r>
        <w:br/>
      </w:r>
      <w:r>
        <w:rPr>
          <w:rStyle w:val="heading2"/>
        </w:rPr>
        <w:t>House Committee Amendment No. 1</w:t>
      </w:r>
      <w:r>
        <w:br/>
      </w:r>
      <w:r>
        <w:rPr>
          <w:rStyle w:val="content"/>
        </w:rPr>
        <w:t>     Replaces everything after the enacting clause. Amends the Criminal Identification Act relating to sealing of records. Permits the sealing of arrest and court reco</w:t>
      </w:r>
      <w:r>
        <w:rPr>
          <w:rStyle w:val="content"/>
        </w:rPr>
        <w:t>rds for the offenses of assault, battery, solicitation of a sexual act, and patronizing a prostitute. Permits the sealing of the records of a person charged with a felony if the charge results in acquittal, dismissal, or the petitioner's release without co</w:t>
      </w:r>
      <w:r>
        <w:rPr>
          <w:rStyle w:val="content"/>
        </w:rPr>
        <w:t>nviction or the charge results in a conviction, but the conviction was reversed or vacated. Effective immediately.</w:t>
      </w:r>
      <w:r>
        <w:br/>
      </w:r>
      <w:r>
        <w:lastRenderedPageBreak/>
        <w:br/>
      </w:r>
      <w:r>
        <w:rPr>
          <w:rStyle w:val="heading2"/>
        </w:rPr>
        <w:t>House Floor Amendment No. 2</w:t>
      </w:r>
      <w:r>
        <w:br/>
      </w:r>
      <w:r>
        <w:rPr>
          <w:rStyle w:val="content"/>
        </w:rPr>
        <w:t>     Removes new provisions that permit the court to order the sealing of records of persons who receive an orde</w:t>
      </w:r>
      <w:r>
        <w:rPr>
          <w:rStyle w:val="content"/>
        </w:rPr>
        <w:t>r of supervision, qualified probation, or conviction for solicitation of a sexual act, patronizing a prostitute, assault, or battery. Deletes provision that permits the sealing of felony records in which the petitioner was released without conviction.</w:t>
      </w:r>
      <w:r>
        <w:br/>
      </w:r>
      <w:r>
        <w:br/>
      </w:r>
      <w:r>
        <w:rPr>
          <w:rStyle w:val="heading2"/>
        </w:rPr>
        <w:t>Las</w:t>
      </w:r>
      <w:r>
        <w:rPr>
          <w:rStyle w:val="heading2"/>
        </w:rPr>
        <w:t>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3/25/2010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Third Reading - Standard Debate - Lost 044-066-000</w:t>
            </w:r>
          </w:p>
        </w:tc>
      </w:tr>
    </w:tbl>
    <w:p w:rsidR="00000000" w:rsidRDefault="002D61D9">
      <w:pPr>
        <w:pStyle w:val="NormalWeb"/>
      </w:pPr>
    </w:p>
    <w:p w:rsidR="00000000" w:rsidRDefault="002D61D9">
      <w:r>
        <w:pict>
          <v:rect id="_x0000_i1095" style="width:0;height:1.5pt" o:hralign="center" o:hrstd="t" o:hr="t" fillcolor="#a0a0a0" stroked="f"/>
        </w:pict>
      </w:r>
    </w:p>
    <w:p w:rsidR="00000000" w:rsidRDefault="002D61D9">
      <w:pPr>
        <w:spacing w:after="240"/>
      </w:pPr>
      <w:r>
        <w:rPr>
          <w:rStyle w:val="heading"/>
        </w:rPr>
        <w:t xml:space="preserve">HB 5688 </w:t>
      </w:r>
      <w:r>
        <w:br/>
      </w:r>
      <w:r>
        <w:br/>
      </w:r>
      <w:r>
        <w:rPr>
          <w:rStyle w:val="heading2"/>
        </w:rPr>
        <w:t>Short Description:</w:t>
      </w:r>
      <w:r>
        <w:t>  </w:t>
      </w:r>
      <w:r>
        <w:rPr>
          <w:rStyle w:val="content"/>
        </w:rPr>
        <w:t>DHS-DCFS-TRANSITION SRVCS-KIDS</w:t>
      </w:r>
      <w:r>
        <w:br/>
      </w:r>
      <w:r>
        <w:br/>
      </w:r>
      <w:r>
        <w:rPr>
          <w:rStyle w:val="heading2"/>
        </w:rPr>
        <w:t>House Sponsors</w:t>
      </w:r>
      <w:r>
        <w:br/>
      </w:r>
      <w:r>
        <w:rPr>
          <w:rStyle w:val="content"/>
        </w:rPr>
        <w:t>Rep. Rich Brauer</w:t>
      </w:r>
      <w:r>
        <w:br/>
      </w:r>
      <w:r>
        <w:br/>
      </w:r>
      <w:r>
        <w:rPr>
          <w:rStyle w:val="heading2"/>
        </w:rPr>
        <w:t>Senate Sponsors</w:t>
      </w:r>
      <w:r>
        <w:br/>
      </w:r>
      <w:r>
        <w:rPr>
          <w:rStyle w:val="content"/>
        </w:rPr>
        <w:t>(Sen. Kimberly A. Lightford and Deanna D</w:t>
      </w:r>
      <w:r>
        <w:rPr>
          <w:rStyle w:val="content"/>
        </w:rPr>
        <w:t>emuzio-Jacqueline Y. Collins)</w:t>
      </w:r>
    </w:p>
    <w:p w:rsidR="00000000" w:rsidRDefault="002D61D9">
      <w:pPr>
        <w:pStyle w:val="NormalWeb"/>
      </w:pPr>
      <w:r>
        <w:rPr>
          <w:rStyle w:val="heading2"/>
        </w:rPr>
        <w:t>Synopsis As Introduced</w:t>
      </w:r>
      <w:r>
        <w:br/>
      </w:r>
      <w:r>
        <w:rPr>
          <w:rStyle w:val="content"/>
        </w:rPr>
        <w:t xml:space="preserve">      Amends the Children and Family Services Act and the Mental Health and Developmental Disabilities Administrative Act. Provides that beginning on the effective date of this amendatory Act, the State </w:t>
      </w:r>
      <w:r>
        <w:rPr>
          <w:rStyle w:val="content"/>
        </w:rPr>
        <w:t>of Illinois shall ensure that children with disabilities have full access to coordinated, multi-disciplinary transition support and service planning until educational services are exhausted or until such a child attains 22 years of age. Provides that trans</w:t>
      </w:r>
      <w:r>
        <w:rPr>
          <w:rStyle w:val="content"/>
        </w:rPr>
        <w:t xml:space="preserve">ition services include educational services and all services identified as necessary to support integration and continued growth and success in the individual's post-educational, community environments. Further provides that children with disabilities who </w:t>
      </w:r>
      <w:r>
        <w:rPr>
          <w:rStyle w:val="content"/>
        </w:rPr>
        <w:t>receive residential and educational services from the Department of Children and Family Services or the Department of Human Services shall be eligible to receive transition services provided by the Illinois State Board of Education (ISBE) from the age of 1</w:t>
      </w:r>
      <w:r>
        <w:rPr>
          <w:rStyle w:val="content"/>
        </w:rPr>
        <w:t>4.5 to 22 years, notwithstanding the child's residential service arrangement. Defines "children with disabilities" to mean persons who are 22 years old or younger and are afflicted with a disability as defined by the Americans with Disabilities Act of 1990</w:t>
      </w:r>
      <w:r>
        <w:rPr>
          <w:rStyle w:val="content"/>
        </w:rPr>
        <w:t xml:space="preserve"> that is attributable to a developmental disability, a mental illness, or a physical disability, or a combination of those. Effective immediately.</w:t>
      </w:r>
      <w:r>
        <w:br/>
      </w:r>
      <w:r>
        <w:br/>
      </w:r>
      <w:r>
        <w:rPr>
          <w:rStyle w:val="heading2"/>
        </w:rPr>
        <w:t>House Floor Amendment No. 1</w:t>
      </w:r>
      <w:r>
        <w:br/>
      </w:r>
      <w:r>
        <w:rPr>
          <w:rStyle w:val="content"/>
        </w:rPr>
        <w:t>     Provides that: a child with a disability who receives residential and educa</w:t>
      </w:r>
      <w:r>
        <w:rPr>
          <w:rStyle w:val="content"/>
        </w:rPr>
        <w:t xml:space="preserve">tional services from or paid by the Department of Human Services shall be eligible to receive transition services in accordance with Article 14 of the School Code (rather than transition services provided by the Illinois State Board of Education) from the </w:t>
      </w:r>
      <w:r>
        <w:rPr>
          <w:rStyle w:val="content"/>
        </w:rPr>
        <w:t xml:space="preserve">age of 14.5 through age 21, inclusive, notwithstanding the child's residential services arrangement; beginning on the effective date of this amendatory Act, the Department shall review its policies and regulations that create obstacles to the provision of </w:t>
      </w:r>
      <w:r>
        <w:rPr>
          <w:rStyle w:val="content"/>
        </w:rPr>
        <w:t xml:space="preserve">these services and within the constraint of existing federal or State law change or modify the policies and regulations to support the provision of transition services in accordance with Article 14 of the School Code; and "child with a disability" means a </w:t>
      </w:r>
      <w:r>
        <w:rPr>
          <w:rStyle w:val="content"/>
        </w:rPr>
        <w:t xml:space="preserve">child with a disability as defined by the federal Individuals with Disabilities Education Improvement Act of 2004 (rather than persons who are 22 years old or younger and are afflicted with a disability as defined by the Americans with Disabilities Act of </w:t>
      </w:r>
      <w:r>
        <w:rPr>
          <w:rStyle w:val="content"/>
        </w:rPr>
        <w:t>1990 that is attributable to a developmental disability, a mental illness, or a physical disability, or a combination of those).</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7/22/2010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96-1189</w:t>
            </w:r>
          </w:p>
        </w:tc>
      </w:tr>
    </w:tbl>
    <w:p w:rsidR="00000000" w:rsidRDefault="002D61D9">
      <w:pPr>
        <w:pStyle w:val="NormalWeb"/>
      </w:pPr>
    </w:p>
    <w:p w:rsidR="00000000" w:rsidRDefault="002D61D9">
      <w:r>
        <w:pict>
          <v:rect id="_x0000_i1096" style="width:0;height:1.5pt" o:hralign="center" o:hrstd="t" o:hr="t" fillcolor="#a0a0a0" stroked="f"/>
        </w:pict>
      </w:r>
    </w:p>
    <w:p w:rsidR="00000000" w:rsidRDefault="002D61D9">
      <w:pPr>
        <w:spacing w:after="240"/>
      </w:pPr>
      <w:r>
        <w:rPr>
          <w:rStyle w:val="heading"/>
        </w:rPr>
        <w:t xml:space="preserve">HB 5744 </w:t>
      </w:r>
      <w:r>
        <w:br/>
      </w:r>
      <w:r>
        <w:br/>
      </w:r>
      <w:r>
        <w:rPr>
          <w:rStyle w:val="heading2"/>
        </w:rPr>
        <w:t>Short Description:</w:t>
      </w:r>
      <w:r>
        <w:t>  </w:t>
      </w:r>
      <w:r>
        <w:rPr>
          <w:rStyle w:val="content"/>
        </w:rPr>
        <w:t>GO</w:t>
      </w:r>
      <w:r>
        <w:rPr>
          <w:rStyle w:val="content"/>
        </w:rPr>
        <w:t>OD SAMARITAN FREE CLINICS</w:t>
      </w:r>
      <w:r>
        <w:br/>
      </w:r>
      <w:r>
        <w:br/>
      </w:r>
      <w:r>
        <w:rPr>
          <w:rStyle w:val="heading2"/>
        </w:rPr>
        <w:t>House Sponsors</w:t>
      </w:r>
      <w:r>
        <w:br/>
      </w:r>
      <w:r>
        <w:rPr>
          <w:rStyle w:val="content"/>
        </w:rPr>
        <w:t>Rep. Angelo Saviano-Patricia R. Bellock-Sandra M. Pihos</w:t>
      </w:r>
      <w:r>
        <w:br/>
      </w:r>
      <w:r>
        <w:br/>
      </w:r>
      <w:r>
        <w:rPr>
          <w:rStyle w:val="heading2"/>
        </w:rPr>
        <w:t>Senate Sponsors</w:t>
      </w:r>
      <w:r>
        <w:br/>
      </w:r>
      <w:r>
        <w:rPr>
          <w:rStyle w:val="content"/>
        </w:rPr>
        <w:t>(Sen. Randall M. Hultgren)</w:t>
      </w:r>
    </w:p>
    <w:p w:rsidR="00000000" w:rsidRDefault="002D61D9">
      <w:pPr>
        <w:pStyle w:val="NormalWeb"/>
      </w:pPr>
      <w:r>
        <w:rPr>
          <w:rStyle w:val="heading2"/>
        </w:rPr>
        <w:t>Synopsis As Introduced</w:t>
      </w:r>
      <w:r>
        <w:br/>
      </w:r>
      <w:r>
        <w:rPr>
          <w:rStyle w:val="content"/>
        </w:rPr>
        <w:t>      Amends the Department of Professional Regulation Law of the Civil Administrative Code</w:t>
      </w:r>
      <w:r>
        <w:rPr>
          <w:rStyle w:val="content"/>
        </w:rPr>
        <w:t xml:space="preserve"> of Illinois. Provides that notwithstanding any law of the State or political subdivision of the State to the contrary, an individual or entity may engage in the practice of one of the specified professions without being licensed under any Act administered</w:t>
      </w:r>
      <w:r>
        <w:rPr>
          <w:rStyle w:val="content"/>
        </w:rPr>
        <w:t xml:space="preserve"> by the Department, provided that the individual or entity (1) is duly licensed by, or otherwise authorized to practice the profession by, any state or territory of the United States, (2) restricts his, her, or its licensed or authorized services and dutie</w:t>
      </w:r>
      <w:r>
        <w:rPr>
          <w:rStyle w:val="content"/>
        </w:rPr>
        <w:t>s solely to the provision of care or service at a free medical clinic as defined in certain provisions of the Good Samaritan Act, and (3) provides only the care or services that the individual or entity is licensed or otherwise authorized to provide by any</w:t>
      </w:r>
      <w:r>
        <w:rPr>
          <w:rStyle w:val="content"/>
        </w:rPr>
        <w:t xml:space="preserve"> state or territory of the United States. Defines "specified professions". Makes other changes. Effective immediately.</w:t>
      </w:r>
      <w:r>
        <w:br/>
      </w:r>
      <w:r>
        <w:br/>
      </w:r>
      <w:r>
        <w:rPr>
          <w:rStyle w:val="heading2"/>
        </w:rPr>
        <w:t>House Committee Amendment No. 1</w:t>
      </w:r>
      <w:r>
        <w:br/>
      </w:r>
      <w:r>
        <w:rPr>
          <w:rStyle w:val="content"/>
        </w:rPr>
        <w:t>     Replaces everything after the enacting clause. Amends the Department of Professional Regulation Law</w:t>
      </w:r>
      <w:r>
        <w:rPr>
          <w:rStyle w:val="content"/>
        </w:rPr>
        <w:t xml:space="preserve"> of the Civil Administrative Code of Illinois. Provides that any health care professional authorized by law to provide services at a free medical clinic may do so without being licensed under any Act administered by the Department, provided that the health</w:t>
      </w:r>
      <w:r>
        <w:rPr>
          <w:rStyle w:val="content"/>
        </w:rPr>
        <w:t xml:space="preserve"> care professional meets certain specified requirements. Provides that the requirements of the licensing exemption provision do not apply to exemptions authorized by the Department pursuant to a different provision of the Act. Effective immediately.</w:t>
      </w:r>
      <w:r>
        <w:br/>
      </w:r>
      <w:r>
        <w:br/>
      </w:r>
      <w:r>
        <w:rPr>
          <w:rStyle w:val="heading2"/>
        </w:rPr>
        <w:t>House</w:t>
      </w:r>
      <w:r>
        <w:rPr>
          <w:rStyle w:val="heading2"/>
        </w:rPr>
        <w:t xml:space="preserve"> Floor Amendment No. 2</w:t>
      </w:r>
      <w:r>
        <w:br/>
      </w:r>
      <w:r>
        <w:rPr>
          <w:rStyle w:val="content"/>
        </w:rPr>
        <w:t>     Provides additional condition to licensing exemption related to free medical clinics.</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6/21/2010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96-0931</w:t>
            </w:r>
          </w:p>
        </w:tc>
      </w:tr>
    </w:tbl>
    <w:p w:rsidR="00000000" w:rsidRDefault="002D61D9">
      <w:pPr>
        <w:pStyle w:val="NormalWeb"/>
      </w:pPr>
    </w:p>
    <w:p w:rsidR="00000000" w:rsidRDefault="002D61D9">
      <w:r>
        <w:pict>
          <v:rect id="_x0000_i1097" style="width:0;height:1.5pt" o:hralign="center" o:hrstd="t" o:hr="t" fillcolor="#a0a0a0" stroked="f"/>
        </w:pict>
      </w:r>
    </w:p>
    <w:p w:rsidR="00000000" w:rsidRDefault="002D61D9">
      <w:pPr>
        <w:spacing w:after="240"/>
      </w:pPr>
      <w:r>
        <w:rPr>
          <w:rStyle w:val="heading"/>
        </w:rPr>
        <w:t xml:space="preserve">HB 6194 </w:t>
      </w:r>
      <w:r>
        <w:br/>
      </w:r>
      <w:r>
        <w:br/>
      </w:r>
      <w:r>
        <w:rPr>
          <w:rStyle w:val="heading2"/>
        </w:rPr>
        <w:t>Short Description:</w:t>
      </w:r>
      <w:r>
        <w:t>  </w:t>
      </w:r>
      <w:r>
        <w:rPr>
          <w:rStyle w:val="content"/>
        </w:rPr>
        <w:t>DFPR-LICENSE FORM</w:t>
      </w:r>
      <w:r>
        <w:rPr>
          <w:rStyle w:val="content"/>
        </w:rPr>
        <w:t xml:space="preserve"> WAIVER</w:t>
      </w:r>
      <w:r>
        <w:br/>
      </w:r>
      <w:r>
        <w:br/>
      </w:r>
      <w:r>
        <w:rPr>
          <w:rStyle w:val="heading2"/>
        </w:rPr>
        <w:t>House Sponsors</w:t>
      </w:r>
      <w:r>
        <w:br/>
      </w:r>
      <w:r>
        <w:rPr>
          <w:rStyle w:val="content"/>
        </w:rPr>
        <w:t>Rep. Sandra M. Pihos-David R. Leitch-Eddie Washington</w:t>
      </w:r>
      <w:r>
        <w:br/>
      </w:r>
      <w:r>
        <w:br/>
      </w:r>
      <w:r>
        <w:rPr>
          <w:rStyle w:val="heading2"/>
        </w:rPr>
        <w:t>Senate Sponsors</w:t>
      </w:r>
      <w:r>
        <w:br/>
      </w:r>
      <w:r>
        <w:rPr>
          <w:rStyle w:val="content"/>
        </w:rPr>
        <w:t>(Sen. Carole Pankau)</w:t>
      </w:r>
    </w:p>
    <w:p w:rsidR="00000000" w:rsidRDefault="002D61D9">
      <w:pPr>
        <w:pStyle w:val="NormalWeb"/>
      </w:pPr>
      <w:r>
        <w:rPr>
          <w:rStyle w:val="heading2"/>
        </w:rPr>
        <w:t>Synopsis As Introduced</w:t>
      </w:r>
      <w:r>
        <w:br/>
      </w:r>
      <w:r>
        <w:rPr>
          <w:rStyle w:val="content"/>
        </w:rPr>
        <w:t>      Amends the Department of Professional Regulation Law of the Civil Administrative Code of Illinois. Notwithstand</w:t>
      </w:r>
      <w:r>
        <w:rPr>
          <w:rStyle w:val="content"/>
        </w:rPr>
        <w:t xml:space="preserve">ing any other provision of law to the contrary, provides that any license application or renewal form that the Department provides to a person shall include a waiver that gives the person the option to grant or deny permission to the Department </w:t>
      </w:r>
      <w:r>
        <w:rPr>
          <w:rStyle w:val="content"/>
        </w:rPr>
        <w:lastRenderedPageBreak/>
        <w:t>to sell his</w:t>
      </w:r>
      <w:r>
        <w:rPr>
          <w:rStyle w:val="content"/>
        </w:rPr>
        <w:t xml:space="preserve"> or her information, as part of the roster of information including, but not limited to, his or her name, address, and profession, to a third party. Provides that the waiver shall clearly present this option and require the person to check a box marked "Ye</w:t>
      </w:r>
      <w:r>
        <w:rPr>
          <w:rStyle w:val="content"/>
        </w:rPr>
        <w:t>s" or a box marked "No". Effective immediately.</w:t>
      </w:r>
      <w:r>
        <w:br/>
      </w:r>
      <w:r>
        <w:br/>
      </w:r>
      <w:r>
        <w:rPr>
          <w:rStyle w:val="heading2"/>
        </w:rPr>
        <w:t>House Committee Amendment No. 1</w:t>
      </w:r>
      <w:r>
        <w:br/>
      </w:r>
      <w:r>
        <w:rPr>
          <w:rStyle w:val="content"/>
        </w:rPr>
        <w:t>     Replaces everything after the enacting clause. Amends the Department of Professional Regulation Law of the Civil Administrative Code of Illinois. Notwithstanding any othe</w:t>
      </w:r>
      <w:r>
        <w:rPr>
          <w:rStyle w:val="content"/>
        </w:rPr>
        <w:t>r provision of law to the contrary, provides that any roster of information including, but not limited to, the licensee's name, address, and profession, shall not be used by a third party for the purpose of marketing goods or services not related to the li</w:t>
      </w:r>
      <w:r>
        <w:rPr>
          <w:rStyle w:val="content"/>
        </w:rPr>
        <w:t>censee's profession. Effective immediately.</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968"/>
        <w:gridCol w:w="945"/>
        <w:gridCol w:w="5287"/>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96-0978</w:t>
            </w:r>
          </w:p>
        </w:tc>
      </w:tr>
    </w:tbl>
    <w:p w:rsidR="00000000" w:rsidRDefault="002D61D9">
      <w:pPr>
        <w:pStyle w:val="NormalWeb"/>
      </w:pPr>
    </w:p>
    <w:p w:rsidR="00000000" w:rsidRDefault="002D61D9">
      <w:r>
        <w:pict>
          <v:rect id="_x0000_i1098" style="width:0;height:1.5pt" o:hralign="center" o:hrstd="t" o:hr="t" fillcolor="#a0a0a0" stroked="f"/>
        </w:pict>
      </w:r>
    </w:p>
    <w:p w:rsidR="00000000" w:rsidRDefault="002D61D9">
      <w:r>
        <w:rPr>
          <w:rStyle w:val="heading"/>
        </w:rPr>
        <w:t xml:space="preserve">SB 1221 </w:t>
      </w:r>
      <w:r>
        <w:br/>
      </w:r>
      <w:r>
        <w:br/>
      </w:r>
      <w:r>
        <w:rPr>
          <w:rStyle w:val="heading2"/>
        </w:rPr>
        <w:t>Short Description:</w:t>
      </w:r>
      <w:r>
        <w:t>  </w:t>
      </w:r>
      <w:r>
        <w:rPr>
          <w:rStyle w:val="content"/>
        </w:rPr>
        <w:t>$DCEO</w:t>
      </w:r>
      <w:r>
        <w:br/>
      </w:r>
      <w:r>
        <w:br/>
      </w:r>
      <w:r>
        <w:rPr>
          <w:rStyle w:val="heading2"/>
        </w:rPr>
        <w:t>Senate Sponsors</w:t>
      </w:r>
      <w:r>
        <w:br/>
      </w:r>
      <w:r>
        <w:rPr>
          <w:rStyle w:val="content"/>
        </w:rPr>
        <w:t>Sen. Donne E. Trotter-John M. Sullivan-Emil Jones, III-Jeffrey M.</w:t>
      </w:r>
      <w:r>
        <w:rPr>
          <w:rStyle w:val="content"/>
        </w:rPr>
        <w:t xml:space="preserve"> Schoenberg</w:t>
      </w:r>
      <w:r>
        <w:br/>
      </w:r>
      <w:r>
        <w:br/>
      </w:r>
      <w:r>
        <w:rPr>
          <w:rStyle w:val="heading2"/>
        </w:rPr>
        <w:t>House Sponsors</w:t>
      </w:r>
      <w:r>
        <w:br/>
      </w:r>
      <w:r>
        <w:rPr>
          <w:rStyle w:val="content"/>
        </w:rPr>
        <w:t>(Rep. Michael J. Madigan-Barbara Flynn Currie-Monique D. Davis)</w:t>
      </w:r>
      <w:r>
        <w:br/>
      </w:r>
      <w:r>
        <w:br/>
      </w:r>
      <w:r>
        <w:rPr>
          <w:rStyle w:val="heading2"/>
        </w:rPr>
        <w:t>Synopsis As Introduced</w:t>
      </w:r>
      <w:r>
        <w:br/>
      </w:r>
      <w:r>
        <w:rPr>
          <w:rStyle w:val="content"/>
        </w:rPr>
        <w:t>     Appropriates $2 from the General Revenue Fund to the Department of Commerce and Economic Opportunity for its FY 10 ordinary and conting</w:t>
      </w:r>
      <w:r>
        <w:rPr>
          <w:rStyle w:val="content"/>
        </w:rPr>
        <w:t>ent expenses. Effective July 1, 2009.</w:t>
      </w:r>
      <w:r>
        <w:br/>
      </w:r>
      <w:r>
        <w:br/>
      </w:r>
      <w:r>
        <w:rPr>
          <w:rStyle w:val="heading2"/>
        </w:rPr>
        <w:t>House Floor Amendment No. 3</w:t>
      </w:r>
      <w:r>
        <w:br/>
      </w:r>
      <w:r>
        <w:rPr>
          <w:rStyle w:val="content"/>
        </w:rPr>
        <w:t xml:space="preserve">     Replaces everything after the enacting clause. Makes changes to appropriations in Senate Bill 1197 and House Bill 2145 if those bills become law. Makes supplemental appropriations for </w:t>
      </w:r>
      <w:r>
        <w:rPr>
          <w:rStyle w:val="content"/>
        </w:rPr>
        <w:t>fiscal year 2009. Makes various appropriations and reappropriations for fiscal year 2010. Effective July 1, 2009, except that fiscal year 2009 supplementals are effective immediately.</w:t>
      </w:r>
      <w:r>
        <w:br/>
      </w:r>
      <w:r>
        <w:br/>
      </w:r>
      <w:r>
        <w:rPr>
          <w:rStyle w:val="heading2"/>
        </w:rPr>
        <w:t>Governor Item/Reduction Veto PA Message</w:t>
      </w:r>
      <w:r>
        <w:br/>
      </w:r>
      <w:r>
        <w:rPr>
          <w:rStyle w:val="content"/>
        </w:rPr>
        <w:t>     Reduces and vetoes items o</w:t>
      </w:r>
      <w:r>
        <w:rPr>
          <w:rStyle w:val="content"/>
        </w:rPr>
        <w:t>f appropriations in the amount of $3,466,183,100.</w:t>
      </w:r>
      <w:r>
        <w:rPr>
          <w:rFonts w:ascii="Arial" w:hAnsi="Arial" w:cs="Arial"/>
          <w:color w:val="000000"/>
          <w:sz w:val="20"/>
          <w:szCs w:val="20"/>
        </w:rPr>
        <w:br/>
      </w:r>
      <w:r>
        <w:rPr>
          <w:rStyle w:val="content"/>
        </w:rPr>
        <w:t>     </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7/30/2009</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Item/Reduction Veto Stands 96-0039</w:t>
            </w:r>
          </w:p>
        </w:tc>
      </w:tr>
    </w:tbl>
    <w:p w:rsidR="00000000" w:rsidRDefault="002D61D9"/>
    <w:p w:rsidR="00000000" w:rsidRDefault="002D61D9">
      <w:r>
        <w:pict>
          <v:rect id="_x0000_i1099" style="width:0;height:1.5pt" o:hralign="center" o:hrstd="t" o:hr="t" fillcolor="#a0a0a0" stroked="f"/>
        </w:pict>
      </w:r>
    </w:p>
    <w:p w:rsidR="00000000" w:rsidRDefault="002D61D9">
      <w:r>
        <w:rPr>
          <w:rStyle w:val="heading"/>
        </w:rPr>
        <w:t xml:space="preserve">SB 2541 </w:t>
      </w:r>
      <w:r>
        <w:br/>
      </w:r>
      <w:r>
        <w:br/>
      </w:r>
      <w:r>
        <w:rPr>
          <w:rStyle w:val="heading2"/>
        </w:rPr>
        <w:t>Short Description:</w:t>
      </w:r>
      <w:r>
        <w:t>  </w:t>
      </w:r>
      <w:r>
        <w:rPr>
          <w:rStyle w:val="content"/>
        </w:rPr>
        <w:t>UNIFORM EMER VOLUNTR HLTH PRAC</w:t>
      </w:r>
      <w:r>
        <w:br/>
      </w:r>
      <w:r>
        <w:br/>
      </w:r>
      <w:r>
        <w:rPr>
          <w:rStyle w:val="heading2"/>
        </w:rPr>
        <w:t>Senate Sponsors</w:t>
      </w:r>
      <w:r>
        <w:br/>
      </w:r>
      <w:r>
        <w:rPr>
          <w:rStyle w:val="content"/>
        </w:rPr>
        <w:t>Sen. A. J. Wilhelmi-Linda Ho</w:t>
      </w:r>
      <w:r>
        <w:rPr>
          <w:rStyle w:val="content"/>
        </w:rPr>
        <w:t>lmes</w:t>
      </w:r>
      <w:r>
        <w:br/>
      </w:r>
      <w:r>
        <w:br/>
      </w:r>
      <w:r>
        <w:rPr>
          <w:rStyle w:val="heading2"/>
        </w:rPr>
        <w:t>House Sponsors</w:t>
      </w:r>
      <w:r>
        <w:br/>
      </w:r>
      <w:r>
        <w:rPr>
          <w:rStyle w:val="content"/>
        </w:rPr>
        <w:lastRenderedPageBreak/>
        <w:t>(Rep. Sidney H. Mathias-Elizabeth Coulson)</w:t>
      </w:r>
      <w:r>
        <w:br/>
      </w:r>
      <w:r>
        <w:br/>
      </w:r>
      <w:r>
        <w:rPr>
          <w:rStyle w:val="heading2"/>
        </w:rPr>
        <w:t>Synopsis As Introduced</w:t>
      </w:r>
      <w:r>
        <w:br/>
      </w:r>
      <w:r>
        <w:rPr>
          <w:rStyle w:val="content"/>
        </w:rPr>
        <w:t>     Creates the Uniform Emergency Volunteer Health Practitioners Act. Provides for the registration of volunteer health practitioners with a registration system for th</w:t>
      </w:r>
      <w:r>
        <w:rPr>
          <w:rStyle w:val="content"/>
        </w:rPr>
        <w:t>e provision of health or veterinary services in the State for a host entity or disaster relief organization while an emergency declaration is in effect. Sets forth a provision concerning the uniformity of application and construction of the Act. Provides f</w:t>
      </w:r>
      <w:r>
        <w:rPr>
          <w:rStyle w:val="content"/>
        </w:rPr>
        <w:t>or the creation of the registration system. Provides that the Illinois Emergency Management Agency shall be the administrating authority of the Uniform Act.</w:t>
      </w:r>
      <w:r>
        <w:br/>
      </w:r>
      <w:r>
        <w:br/>
      </w:r>
      <w:r>
        <w:rPr>
          <w:rStyle w:val="heading2"/>
        </w:rPr>
        <w:t>Senate Committee Amendment No. 1</w:t>
      </w:r>
      <w:r>
        <w:br/>
      </w:r>
      <w:r>
        <w:rPr>
          <w:rStyle w:val="content"/>
        </w:rPr>
        <w:t>     Deletes everything after the enacting clause and reinserts t</w:t>
      </w:r>
      <w:r>
        <w:rPr>
          <w:rStyle w:val="content"/>
        </w:rPr>
        <w:t>he bill as introduced, with the following changes: makes changes to the definition of "volunteer health practitioner"; replaces references to "the Department of Public Health" with "the Illinois Department of Public Health"; in a provision concerning recog</w:t>
      </w:r>
      <w:r>
        <w:rPr>
          <w:rStyle w:val="content"/>
        </w:rPr>
        <w:t>nition of volunteer health practitioners licensed in other states, provides that a practitioner is not entitled to the protections of the Act if any license of the practitioner is suspended, revoked, or subject to an agency order limiting or restricting pr</w:t>
      </w:r>
      <w:r>
        <w:rPr>
          <w:rStyle w:val="content"/>
        </w:rPr>
        <w:t>actice privileges, or has been voluntarily terminated under threat of sanction; makes changes in provisions concerning the regulatory authority of the Illinois Emergency Management Agency; also makes technical changes.</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968"/>
        <w:gridCol w:w="945"/>
        <w:gridCol w:w="5287"/>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b/>
                <w:bCs/>
                <w:color w:val="000000"/>
                <w:sz w:val="20"/>
                <w:szCs w:val="20"/>
              </w:rPr>
              <w:t>7/2/2010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96-0983</w:t>
            </w:r>
          </w:p>
        </w:tc>
      </w:tr>
    </w:tbl>
    <w:p w:rsidR="00000000" w:rsidRDefault="002D61D9"/>
    <w:p w:rsidR="00000000" w:rsidRDefault="002D61D9">
      <w:r>
        <w:pict>
          <v:rect id="_x0000_i1100" style="width:0;height:1.5pt" o:hralign="center" o:hrstd="t" o:hr="t" fillcolor="#a0a0a0" stroked="f"/>
        </w:pict>
      </w:r>
    </w:p>
    <w:p w:rsidR="00000000" w:rsidRDefault="002D61D9">
      <w:r>
        <w:rPr>
          <w:rStyle w:val="heading"/>
        </w:rPr>
        <w:t xml:space="preserve">SB 2604 </w:t>
      </w:r>
      <w:r>
        <w:br/>
      </w:r>
      <w:r>
        <w:br/>
      </w:r>
      <w:r>
        <w:rPr>
          <w:rStyle w:val="heading2"/>
        </w:rPr>
        <w:t>Short Description:</w:t>
      </w:r>
      <w:r>
        <w:t>  </w:t>
      </w:r>
      <w:r>
        <w:rPr>
          <w:rStyle w:val="content"/>
        </w:rPr>
        <w:t>DFPR-REMOVE PUBLIC RECORD</w:t>
      </w:r>
      <w:r>
        <w:br/>
      </w:r>
      <w:r>
        <w:br/>
      </w:r>
      <w:r>
        <w:rPr>
          <w:rStyle w:val="heading2"/>
        </w:rPr>
        <w:t>Senate Sponsors</w:t>
      </w:r>
      <w:r>
        <w:br/>
      </w:r>
      <w:r>
        <w:rPr>
          <w:rStyle w:val="content"/>
        </w:rPr>
        <w:t>Sen. Pamela J. Althoff</w:t>
      </w:r>
      <w:r>
        <w:br/>
      </w:r>
      <w:r>
        <w:br/>
      </w:r>
      <w:r>
        <w:rPr>
          <w:rStyle w:val="heading2"/>
        </w:rPr>
        <w:t>Synopsis As Introduced</w:t>
      </w:r>
      <w:r>
        <w:br/>
      </w:r>
      <w:r>
        <w:rPr>
          <w:rStyle w:val="content"/>
        </w:rPr>
        <w:t>     Amends the Department of Professional Regulation Law of the Civil Adminis</w:t>
      </w:r>
      <w:r>
        <w:rPr>
          <w:rStyle w:val="content"/>
        </w:rPr>
        <w:t>trative Code of Illinois. Provides that any licensee disciplined under a licensure Act administered by the Division of Professional Regulation for an offense relating to the failure to pay taxes, child support, or student loans or relating to continuing ed</w:t>
      </w:r>
      <w:r>
        <w:rPr>
          <w:rStyle w:val="content"/>
        </w:rPr>
        <w:t>ucation or advertising may file a petition with the Department on forms provided by the Department, along with the required fee of $200, to have the records of that offense removed from public view on the Department's website if certain conditions are met.</w:t>
      </w:r>
      <w:r>
        <w:rPr>
          <w:rStyle w:val="content"/>
        </w:rPr>
        <w:t xml:space="preserve"> Provides that nothing shall prohibit the Department from using a previous discipline for any regulatory purpose or from releasing records of a previous discipline upon request from law enforcement, other governmental body, or the public. Provides that rem</w:t>
      </w:r>
      <w:r>
        <w:rPr>
          <w:rStyle w:val="content"/>
        </w:rPr>
        <w:t>oval of records of a disciplinary offense from the Department's website shall not be considered a vacating or expunging of the offense from the licensee's disciplinary record. Effective immediately.</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3/11/2010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Ta</w:t>
            </w:r>
            <w:r>
              <w:rPr>
                <w:rFonts w:ascii="Arial" w:hAnsi="Arial" w:cs="Arial"/>
                <w:b/>
                <w:bCs/>
                <w:color w:val="000000"/>
                <w:sz w:val="20"/>
                <w:szCs w:val="20"/>
              </w:rPr>
              <w:t>bled By Sponsor Sen. Pamela J. Althoff</w:t>
            </w:r>
          </w:p>
        </w:tc>
      </w:tr>
    </w:tbl>
    <w:p w:rsidR="00000000" w:rsidRDefault="002D61D9"/>
    <w:p w:rsidR="00000000" w:rsidRDefault="002D61D9">
      <w:r>
        <w:pict>
          <v:rect id="_x0000_i1101" style="width:0;height:1.5pt" o:hralign="center" o:hrstd="t" o:hr="t" fillcolor="#a0a0a0" stroked="f"/>
        </w:pict>
      </w:r>
    </w:p>
    <w:p w:rsidR="00000000" w:rsidRDefault="002D61D9">
      <w:r>
        <w:rPr>
          <w:rStyle w:val="heading"/>
        </w:rPr>
        <w:t xml:space="preserve">SB 2635 </w:t>
      </w:r>
      <w:r>
        <w:br/>
      </w:r>
      <w:r>
        <w:br/>
      </w:r>
      <w:r>
        <w:rPr>
          <w:rStyle w:val="heading2"/>
        </w:rPr>
        <w:t>Short Description:</w:t>
      </w:r>
      <w:r>
        <w:t>  </w:t>
      </w:r>
      <w:r>
        <w:rPr>
          <w:rStyle w:val="content"/>
        </w:rPr>
        <w:t>HEALTHCARE JOBS-FEE SPLITTING</w:t>
      </w:r>
      <w:r>
        <w:br/>
      </w:r>
      <w:r>
        <w:br/>
      </w:r>
      <w:r>
        <w:rPr>
          <w:rStyle w:val="heading2"/>
        </w:rPr>
        <w:t>Senate Sponsors</w:t>
      </w:r>
      <w:r>
        <w:br/>
      </w:r>
      <w:r>
        <w:rPr>
          <w:rStyle w:val="content"/>
        </w:rPr>
        <w:t>Sen. Michael W. Frerichs-Susan Garrett-Pamela J. Althoff-Iris Y. Martinez, Chris Lauzen and Linda Holmes</w:t>
      </w:r>
      <w:r>
        <w:br/>
      </w:r>
      <w:r>
        <w:br/>
      </w:r>
      <w:r>
        <w:rPr>
          <w:rStyle w:val="heading2"/>
        </w:rPr>
        <w:t>House Sponsors</w:t>
      </w:r>
      <w:r>
        <w:br/>
      </w:r>
      <w:r>
        <w:rPr>
          <w:rStyle w:val="content"/>
        </w:rPr>
        <w:t>(Rep. Dan Reitz</w:t>
      </w:r>
      <w:r>
        <w:rPr>
          <w:rStyle w:val="content"/>
        </w:rPr>
        <w:t>-Angelo Saviano-André M. Thapedi, Fred Crespo, Keith Farnham, Robert F. Flider, Charles E. Jefferson, Mark L. Walker, Carol A. Sente and Eddie Washington)</w:t>
      </w:r>
      <w:r>
        <w:br/>
      </w:r>
      <w:r>
        <w:lastRenderedPageBreak/>
        <w:br/>
      </w:r>
      <w:r>
        <w:rPr>
          <w:rStyle w:val="heading2"/>
        </w:rPr>
        <w:t>Synopsis As Introduced</w:t>
      </w:r>
      <w:r>
        <w:br/>
      </w:r>
      <w:r>
        <w:rPr>
          <w:rStyle w:val="content"/>
        </w:rPr>
        <w:t>     Amends several Acts that regulate the medical and healthcare professions</w:t>
      </w:r>
      <w:r>
        <w:rPr>
          <w:rStyle w:val="content"/>
        </w:rPr>
        <w:t>. In a provision in those Acts concerning fee-splitting or directly or indirectly giving to or receiving from certain persons or entities any fee, commission, rebate, or other form of compensation for any professional services not actually or personally re</w:t>
      </w:r>
      <w:r>
        <w:rPr>
          <w:rStyle w:val="content"/>
        </w:rPr>
        <w:t>ndered, provides that the provision does not prohibit contractual or employment arrangements with health care professionals or providers, such as physicians, physician practices, hospitals, long-term care facilities, clinics, or other entities, except as o</w:t>
      </w:r>
      <w:r>
        <w:rPr>
          <w:rStyle w:val="content"/>
        </w:rPr>
        <w:t>therwise prohibited by law. Provides that contractual and employment arrangements with health care professionals or providers may include arrangements for compensation, use of space, staff, equipment, health insurance, pension, or other benefits for the pr</w:t>
      </w:r>
      <w:r>
        <w:rPr>
          <w:rStyle w:val="content"/>
        </w:rPr>
        <w:t>ovision of services within the scope of the licensee's practice under that specific Act. Amends the Medical Practice Act. Provides that nothing in the Act prohibits physicians, physician practices, or entities authorized by law to employ physicians from al</w:t>
      </w:r>
      <w:r>
        <w:rPr>
          <w:rStyle w:val="content"/>
        </w:rPr>
        <w:t>so employing other licensed health care workers and other persons. Effective immediately.</w:t>
      </w:r>
      <w:r>
        <w:br/>
      </w:r>
      <w:r>
        <w:br/>
      </w:r>
      <w:r>
        <w:rPr>
          <w:rStyle w:val="heading2"/>
        </w:rPr>
        <w:t>Senate Committee Amendment No. 2</w:t>
      </w:r>
      <w:r>
        <w:br/>
      </w:r>
      <w:r>
        <w:rPr>
          <w:rStyle w:val="content"/>
        </w:rPr>
        <w:t>     In all of the Acts included in the amendatory Act, other than the Medical Practice Act of 1987, amends a provision concerning f</w:t>
      </w:r>
      <w:r>
        <w:rPr>
          <w:rStyle w:val="content"/>
        </w:rPr>
        <w:t>ee-splitting or directly or indirectly giving to or receiving from certain persons or entities any fee, commission, rebate, or other form of compensation for any professional services not actually or personally rendered. Provides that nothing in the provis</w:t>
      </w:r>
      <w:r>
        <w:rPr>
          <w:rStyle w:val="content"/>
        </w:rPr>
        <w:t>ion affects any bona fide independent contractor or employment arrangements among health care professionals, health facilities, health care providers, or other entities, except as otherwise prohibited by law. Provides that any employment arrangements may i</w:t>
      </w:r>
      <w:r>
        <w:rPr>
          <w:rStyle w:val="content"/>
        </w:rPr>
        <w:t>nclude provisions for compensation, health insurance, pension, or other employment benefits for the provision of services within the scope of the licensee's practice under the Act. In all of the Acts included in the amendatory Act, other than the Medical P</w:t>
      </w:r>
      <w:r>
        <w:rPr>
          <w:rStyle w:val="content"/>
        </w:rPr>
        <w:t>ractice Act of 1987 and the Physician Assistant Practice Act of 1987, provides that nothing in the provision shall be construed to require an employment arrangement to receive professional fees for services rendered.</w:t>
      </w:r>
      <w:r>
        <w:br/>
      </w:r>
      <w:r>
        <w:br/>
      </w:r>
      <w:r>
        <w:rPr>
          <w:rStyle w:val="heading2"/>
        </w:rPr>
        <w:t>Senate Floor Amendment No. 3</w:t>
      </w:r>
      <w:r>
        <w:br/>
      </w:r>
      <w:r>
        <w:rPr>
          <w:rStyle w:val="content"/>
        </w:rPr>
        <w:t>     Amen</w:t>
      </w:r>
      <w:r>
        <w:rPr>
          <w:rStyle w:val="content"/>
        </w:rPr>
        <w:t>ds the Health Care Worker Self-Referral Act. Sets forth provision that, with respect to statutorily required referrals for physical therapy services, occupational therapy services, athletic trainer services, or genetic counselor services, a patient shall b</w:t>
      </w:r>
      <w:r>
        <w:rPr>
          <w:rStyle w:val="content"/>
        </w:rPr>
        <w:t>e informed that he or she may request a referral for these services outside or independent of the authorized referring health care worker's group practice, facility, or health professional's or provider's office.</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191"/>
        <w:gridCol w:w="945"/>
        <w:gridCol w:w="5064"/>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11/18</w:t>
            </w:r>
            <w:r>
              <w:rPr>
                <w:rFonts w:ascii="Arial" w:hAnsi="Arial" w:cs="Arial"/>
                <w:b/>
                <w:bCs/>
                <w:color w:val="000000"/>
                <w:sz w:val="20"/>
                <w:szCs w:val="20"/>
              </w:rPr>
              <w:t>/2010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Placed on Calendar Total Veto November 29, 2010</w:t>
            </w:r>
          </w:p>
        </w:tc>
      </w:tr>
    </w:tbl>
    <w:p w:rsidR="00000000" w:rsidRDefault="002D61D9"/>
    <w:p w:rsidR="00000000" w:rsidRDefault="002D61D9">
      <w:r>
        <w:pict>
          <v:rect id="_x0000_i1102" style="width:0;height:1.5pt" o:hralign="center" o:hrstd="t" o:hr="t" fillcolor="#a0a0a0" stroked="f"/>
        </w:pict>
      </w:r>
    </w:p>
    <w:p w:rsidR="00000000" w:rsidRDefault="002D61D9">
      <w:r>
        <w:rPr>
          <w:rStyle w:val="heading"/>
        </w:rPr>
        <w:t xml:space="preserve">SB 3509 </w:t>
      </w:r>
      <w:r>
        <w:br/>
      </w:r>
      <w:r>
        <w:br/>
      </w:r>
      <w:r>
        <w:rPr>
          <w:rStyle w:val="heading2"/>
        </w:rPr>
        <w:t>Short Description:</w:t>
      </w:r>
      <w:r>
        <w:t>  </w:t>
      </w:r>
      <w:r>
        <w:rPr>
          <w:rStyle w:val="content"/>
        </w:rPr>
        <w:t>HEALTH CARE PROFESSIONAL-ADS</w:t>
      </w:r>
      <w:r>
        <w:br/>
      </w:r>
      <w:r>
        <w:br/>
      </w:r>
      <w:r>
        <w:rPr>
          <w:rStyle w:val="heading2"/>
        </w:rPr>
        <w:t>Senate Sponsors</w:t>
      </w:r>
      <w:r>
        <w:br/>
      </w:r>
      <w:r>
        <w:rPr>
          <w:rStyle w:val="content"/>
        </w:rPr>
        <w:t>Sen. William R. Haine-Pamela J. Althoff-Linda Holmes-Mattie Hunter, Ira I. Silverstein-Christine Radogno and Dan Kot</w:t>
      </w:r>
      <w:r>
        <w:rPr>
          <w:rStyle w:val="content"/>
        </w:rPr>
        <w:t>owski</w:t>
      </w:r>
      <w:r>
        <w:br/>
      </w:r>
      <w:r>
        <w:br/>
      </w:r>
      <w:r>
        <w:rPr>
          <w:rStyle w:val="heading2"/>
        </w:rPr>
        <w:t>House Sponsors</w:t>
      </w:r>
      <w:r>
        <w:br/>
      </w:r>
      <w:r>
        <w:rPr>
          <w:rStyle w:val="content"/>
        </w:rPr>
        <w:t>(Rep. Angelo Saviano-Ed Sullivan, Jr.)</w:t>
      </w:r>
      <w:r>
        <w:br/>
      </w:r>
      <w:r>
        <w:br/>
      </w:r>
      <w:r>
        <w:rPr>
          <w:rStyle w:val="heading2"/>
        </w:rPr>
        <w:t>Synopsis As Introduced</w:t>
      </w:r>
      <w:r>
        <w:br/>
      </w:r>
      <w:r>
        <w:rPr>
          <w:rStyle w:val="content"/>
        </w:rPr>
        <w:t>     Creates the Truth in Health Care Professional Services Act. Requires an advertisement for health care services that names a health care professional to identify the t</w:t>
      </w:r>
      <w:r>
        <w:rPr>
          <w:rStyle w:val="content"/>
        </w:rPr>
        <w:t>ype of license held pursuant to the definitions under his or her licensing Act. Provides that the advertisement shall be free from any and all deceptive or misleading information. Requires a health care professional providing health care services in the St</w:t>
      </w:r>
      <w:r>
        <w:rPr>
          <w:rStyle w:val="content"/>
        </w:rPr>
        <w:t>ate to conspicuously post and affirmatively communicate the professional's specific licensure as required under the Act, with certain exceptions. Provides that any health care professional, third party contracted to collect fees on behalf of the health car</w:t>
      </w:r>
      <w:r>
        <w:rPr>
          <w:rStyle w:val="content"/>
        </w:rPr>
        <w:t>e professional, the health care professional's employer, or other entity contracting with the health care professional who violates any provision under the Act is guilty of unprofessional conduct and subject to disciplinary action under the appropriate pro</w:t>
      </w:r>
      <w:r>
        <w:rPr>
          <w:rStyle w:val="content"/>
        </w:rPr>
        <w:t>visions of the specific Act governing that health care profession. Sets forth other provisions concerning violations and enforcement of the Act. Defines "advertisement", "deceptive" and "misleading", "health care professional", and "licensee". Effective Ju</w:t>
      </w:r>
      <w:r>
        <w:rPr>
          <w:rStyle w:val="content"/>
        </w:rPr>
        <w:t>ly 1, 2010.</w:t>
      </w:r>
      <w:r>
        <w:br/>
      </w:r>
      <w:r>
        <w:br/>
      </w:r>
      <w:r>
        <w:rPr>
          <w:rStyle w:val="heading2"/>
        </w:rPr>
        <w:lastRenderedPageBreak/>
        <w:t>Senate Floor Amendment No. 1</w:t>
      </w:r>
      <w:r>
        <w:br/>
      </w:r>
      <w:r>
        <w:rPr>
          <w:rStyle w:val="content"/>
        </w:rPr>
        <w:t>     In provisions requiring health care professionals to wear a name tag during all patient encounters, adds an exception when precluded by adopted sterilization or isolation protocols. Provides that the requireme</w:t>
      </w:r>
      <w:r>
        <w:rPr>
          <w:rStyle w:val="content"/>
        </w:rPr>
        <w:t>nt that a health care professional display in his or her office a writing that clearly identifies the type of license held by the health care professions applies if the health care professional has an office in which he or she sees current or prospective p</w:t>
      </w:r>
      <w:r>
        <w:rPr>
          <w:rStyle w:val="content"/>
        </w:rPr>
        <w:t>atients. Requires that a health care worker or provider who is not licensed by the State shall also wear a name tag during all patient encounters that clearly identifies his or her position or title, and that the name tag shall be of sufficient size and be</w:t>
      </w:r>
      <w:r>
        <w:rPr>
          <w:rStyle w:val="content"/>
        </w:rPr>
        <w:t xml:space="preserve"> worn in a conspicuous manner so as to be visible and apparent. Prohibits the use of positions or titles that conflict with licensed health care professionals. In a provision concerning violations of the Act, provides that the provision applies only to vio</w:t>
      </w:r>
      <w:r>
        <w:rPr>
          <w:rStyle w:val="content"/>
        </w:rPr>
        <w:t>lations by any health care professional (now, also applies to any third party contracted to collect fees on behalf of the health care professional, the health care professional's employer, or other entity contracting with the health care professional).</w:t>
      </w:r>
      <w:r>
        <w:br/>
      </w:r>
      <w:r>
        <w:br/>
      </w:r>
      <w:r>
        <w:rPr>
          <w:rStyle w:val="heading2"/>
        </w:rPr>
        <w:t>Ho</w:t>
      </w:r>
      <w:r>
        <w:rPr>
          <w:rStyle w:val="heading2"/>
        </w:rPr>
        <w:t>use Floor Amendment No. 1</w:t>
      </w:r>
      <w:r>
        <w:br/>
      </w:r>
      <w:r>
        <w:rPr>
          <w:rStyle w:val="content"/>
        </w:rPr>
        <w:t>     Provides that a health care professional who is a student or resident and does not have a state license shall only be required to wear a name tag that clearly identifies himself or herself by name and as a student or resident</w:t>
      </w:r>
      <w:r>
        <w:rPr>
          <w:rStyle w:val="content"/>
        </w:rPr>
        <w:t>, as authorized by the professional licensing Act. Also makes technical changes.</w:t>
      </w:r>
      <w:r>
        <w:br/>
      </w:r>
      <w:r>
        <w:br/>
      </w:r>
      <w:r>
        <w:rPr>
          <w:rStyle w:val="heading2"/>
        </w:rPr>
        <w:t>House Floor Amendment No. 2</w:t>
      </w:r>
      <w:r>
        <w:br/>
      </w:r>
      <w:r>
        <w:rPr>
          <w:rStyle w:val="content"/>
        </w:rPr>
        <w:t>     Provides that an advertisement for health care services must identify the type of license held by the health care professional advertising or</w:t>
      </w:r>
      <w:r>
        <w:rPr>
          <w:rStyle w:val="content"/>
        </w:rPr>
        <w:t xml:space="preserve"> providing the services pursuant to the examination designations required for licensure under his or her licensing Act or certain other definitions, titles, and initials authorized under his or her licensing Act. Makes a similar change to a provision conce</w:t>
      </w:r>
      <w:r>
        <w:rPr>
          <w:rStyle w:val="content"/>
        </w:rPr>
        <w:t>rning the requirement to conspicuously post and affirmatively communicate the professional's specific licensure.</w:t>
      </w:r>
      <w:r>
        <w:br/>
      </w:r>
      <w:r>
        <w:br/>
      </w:r>
      <w:r>
        <w:rPr>
          <w:rStyle w:val="heading2"/>
        </w:rPr>
        <w:t>Last Action</w:t>
      </w:r>
      <w:r>
        <w:t> </w:t>
      </w:r>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7/27/2010</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Senate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Public Act . . . . . . . . . 96-1340</w:t>
            </w:r>
          </w:p>
        </w:tc>
      </w:tr>
    </w:tbl>
    <w:p w:rsidR="00000000" w:rsidRDefault="002D61D9"/>
    <w:p w:rsidR="00000000" w:rsidRDefault="002D61D9">
      <w:r>
        <w:pict>
          <v:rect id="_x0000_i1103" style="width:0;height:1.5pt" o:hralign="center" o:hrstd="t" o:hr="t" fillcolor="#a0a0a0" stroked="f"/>
        </w:pict>
      </w:r>
    </w:p>
    <w:p w:rsidR="00000000" w:rsidRDefault="002D61D9">
      <w:pPr>
        <w:spacing w:after="240"/>
      </w:pPr>
      <w:r>
        <w:rPr>
          <w:rStyle w:val="heading"/>
        </w:rPr>
        <w:t xml:space="preserve">HJR 12 </w:t>
      </w:r>
      <w:r>
        <w:br/>
      </w:r>
      <w:r>
        <w:br/>
      </w:r>
      <w:r>
        <w:rPr>
          <w:rStyle w:val="heading2"/>
        </w:rPr>
        <w:t>Short Description:</w:t>
      </w:r>
      <w:r>
        <w:t>  </w:t>
      </w:r>
      <w:r>
        <w:rPr>
          <w:rStyle w:val="content"/>
        </w:rPr>
        <w:t>FETAL ALCHL SPECTR</w:t>
      </w:r>
      <w:r>
        <w:rPr>
          <w:rStyle w:val="content"/>
        </w:rPr>
        <w:t>UM DISORDERS</w:t>
      </w:r>
      <w:r>
        <w:br/>
      </w:r>
      <w:r>
        <w:br/>
      </w:r>
      <w:r>
        <w:rPr>
          <w:rStyle w:val="heading2"/>
        </w:rPr>
        <w:t>House Sponsors</w:t>
      </w:r>
      <w:r>
        <w:br/>
      </w:r>
      <w:r>
        <w:rPr>
          <w:rStyle w:val="content"/>
        </w:rPr>
        <w:t>Rep. Al Riley</w:t>
      </w:r>
    </w:p>
    <w:p w:rsidR="00000000" w:rsidRDefault="002D61D9">
      <w:pPr>
        <w:pStyle w:val="NormalWeb"/>
      </w:pPr>
      <w:r>
        <w:rPr>
          <w:rStyle w:val="heading2"/>
        </w:rPr>
        <w:t>Synopsis As Introduced</w:t>
      </w:r>
      <w:r>
        <w:br/>
      </w:r>
      <w:r>
        <w:rPr>
          <w:rStyle w:val="content"/>
        </w:rPr>
        <w:t>      Urges the Department of Human Services, in collaboration with the Departments of Children and Family Services, Healthcare and Family Services, Corrections, Financial Institutions and P</w:t>
      </w:r>
      <w:r>
        <w:rPr>
          <w:rStyle w:val="content"/>
        </w:rPr>
        <w:t>rofessional Regulation, the Illinois State Board of Education, and the Illinois Planning Council on Developmental Disabilities to complete an assessment of existing State and federal assistance programs involving Fetal Alcohol Spectrum Disorders.</w:t>
      </w:r>
      <w:r>
        <w:br/>
      </w:r>
      <w:r>
        <w:br/>
      </w:r>
      <w:r>
        <w:rPr>
          <w:rStyle w:val="heading2"/>
        </w:rPr>
        <w:t>Last Act</w:t>
      </w:r>
      <w:r>
        <w:rPr>
          <w:rStyle w:val="heading2"/>
        </w:rPr>
        <w:t>ion</w:t>
      </w:r>
      <w:r>
        <w:t> </w:t>
      </w:r>
      <w:bookmarkEnd w:id="0"/>
    </w:p>
    <w:tbl>
      <w:tblPr>
        <w:tblW w:w="7200" w:type="dxa"/>
        <w:tblCellSpacing w:w="0" w:type="dxa"/>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000"/>
      </w:tblPr>
      <w:tblGrid>
        <w:gridCol w:w="1079"/>
        <w:gridCol w:w="945"/>
        <w:gridCol w:w="5176"/>
      </w:tblGrid>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Date</w:t>
            </w:r>
          </w:p>
        </w:tc>
        <w:tc>
          <w:tcPr>
            <w:tcW w:w="500" w:type="pct"/>
            <w:tcBorders>
              <w:top w:val="outset" w:sz="6" w:space="0" w:color="000000"/>
              <w:left w:val="outset" w:sz="6" w:space="0" w:color="000000"/>
              <w:bottom w:val="outset" w:sz="6" w:space="0" w:color="000000"/>
              <w:right w:val="outset" w:sz="6" w:space="0" w:color="000000"/>
            </w:tcBorders>
            <w:vAlign w:val="center"/>
          </w:tcPr>
          <w:p w:rsidR="00000000" w:rsidRDefault="002D61D9">
            <w:pPr>
              <w:jc w:val="center"/>
              <w:rPr>
                <w:rFonts w:ascii="Arial" w:hAnsi="Arial" w:cs="Arial"/>
                <w:b/>
                <w:bCs/>
                <w:color w:val="000000"/>
                <w:sz w:val="20"/>
                <w:szCs w:val="20"/>
              </w:rPr>
            </w:pPr>
            <w:r>
              <w:rPr>
                <w:rFonts w:ascii="Arial" w:hAnsi="Arial" w:cs="Arial"/>
                <w:b/>
                <w:bCs/>
                <w:color w:val="000000"/>
                <w:sz w:val="20"/>
                <w:szCs w:val="20"/>
              </w:rPr>
              <w:t>Chamber</w:t>
            </w:r>
          </w:p>
        </w:tc>
        <w:tc>
          <w:tcPr>
            <w:tcW w:w="3750" w:type="pct"/>
            <w:tcBorders>
              <w:top w:val="outset" w:sz="6" w:space="0" w:color="000000"/>
              <w:left w:val="outset" w:sz="6" w:space="0" w:color="000000"/>
              <w:bottom w:val="outset" w:sz="6" w:space="0" w:color="000000"/>
              <w:right w:val="outset" w:sz="6" w:space="0" w:color="000000"/>
            </w:tcBorders>
            <w:vAlign w:val="center"/>
          </w:tcPr>
          <w:p w:rsidR="00000000" w:rsidRDefault="002D61D9">
            <w:pPr>
              <w:rPr>
                <w:rFonts w:ascii="Arial" w:hAnsi="Arial" w:cs="Arial"/>
                <w:b/>
                <w:bCs/>
                <w:color w:val="000000"/>
                <w:sz w:val="20"/>
                <w:szCs w:val="20"/>
              </w:rPr>
            </w:pPr>
            <w:r>
              <w:rPr>
                <w:rFonts w:ascii="Arial" w:hAnsi="Arial" w:cs="Arial"/>
                <w:b/>
                <w:bCs/>
                <w:color w:val="000000"/>
                <w:sz w:val="20"/>
                <w:szCs w:val="20"/>
              </w:rPr>
              <w:t> Action</w:t>
            </w:r>
          </w:p>
        </w:tc>
      </w:tr>
      <w:tr w:rsidR="00000000">
        <w:trPr>
          <w:tblCellSpacing w:w="0" w:type="dxa"/>
        </w:trPr>
        <w:tc>
          <w:tcPr>
            <w:tcW w:w="750" w:type="pct"/>
            <w:tcBorders>
              <w:top w:val="outset" w:sz="6" w:space="0" w:color="000000"/>
              <w:left w:val="outset" w:sz="6" w:space="0" w:color="000000"/>
              <w:bottom w:val="outset" w:sz="6" w:space="0" w:color="000000"/>
              <w:right w:val="outset" w:sz="6" w:space="0" w:color="000000"/>
            </w:tcBorders>
          </w:tcPr>
          <w:p w:rsidR="00000000" w:rsidRDefault="002D61D9">
            <w:pPr>
              <w:jc w:val="right"/>
              <w:rPr>
                <w:rFonts w:ascii="Arial" w:hAnsi="Arial" w:cs="Arial"/>
                <w:color w:val="000000"/>
                <w:sz w:val="20"/>
                <w:szCs w:val="20"/>
              </w:rPr>
            </w:pPr>
            <w:r>
              <w:rPr>
                <w:rFonts w:ascii="Arial" w:hAnsi="Arial" w:cs="Arial"/>
                <w:color w:val="000000"/>
                <w:sz w:val="20"/>
                <w:szCs w:val="20"/>
              </w:rPr>
              <w:t>  </w:t>
            </w:r>
            <w:r>
              <w:rPr>
                <w:rFonts w:ascii="Arial" w:hAnsi="Arial" w:cs="Arial"/>
                <w:b/>
                <w:bCs/>
                <w:color w:val="000000"/>
                <w:sz w:val="20"/>
                <w:szCs w:val="20"/>
              </w:rPr>
              <w:t>3/10/2009</w:t>
            </w:r>
          </w:p>
        </w:tc>
        <w:tc>
          <w:tcPr>
            <w:tcW w:w="500" w:type="pct"/>
            <w:tcBorders>
              <w:top w:val="outset" w:sz="6" w:space="0" w:color="000000"/>
              <w:left w:val="outset" w:sz="6" w:space="0" w:color="000000"/>
              <w:bottom w:val="outset" w:sz="6" w:space="0" w:color="000000"/>
              <w:right w:val="outset" w:sz="6" w:space="0" w:color="000000"/>
            </w:tcBorders>
          </w:tcPr>
          <w:p w:rsidR="00000000" w:rsidRDefault="002D61D9">
            <w:pPr>
              <w:jc w:val="center"/>
              <w:rPr>
                <w:rFonts w:ascii="Arial" w:hAnsi="Arial" w:cs="Arial"/>
                <w:color w:val="000000"/>
                <w:sz w:val="20"/>
                <w:szCs w:val="20"/>
              </w:rPr>
            </w:pPr>
            <w:r>
              <w:rPr>
                <w:rFonts w:ascii="Arial" w:hAnsi="Arial" w:cs="Arial"/>
                <w:b/>
                <w:bCs/>
                <w:color w:val="000000"/>
                <w:sz w:val="20"/>
                <w:szCs w:val="20"/>
              </w:rPr>
              <w:t>House</w:t>
            </w:r>
          </w:p>
        </w:tc>
        <w:tc>
          <w:tcPr>
            <w:tcW w:w="3750" w:type="pct"/>
            <w:tcBorders>
              <w:top w:val="outset" w:sz="6" w:space="0" w:color="000000"/>
              <w:left w:val="outset" w:sz="6" w:space="0" w:color="000000"/>
              <w:bottom w:val="outset" w:sz="6" w:space="0" w:color="000000"/>
              <w:right w:val="outset" w:sz="6" w:space="0" w:color="000000"/>
            </w:tcBorders>
          </w:tcPr>
          <w:p w:rsidR="00000000" w:rsidRDefault="002D61D9">
            <w:pPr>
              <w:rPr>
                <w:rFonts w:ascii="Arial" w:hAnsi="Arial" w:cs="Arial"/>
                <w:color w:val="000000"/>
                <w:sz w:val="20"/>
                <w:szCs w:val="20"/>
              </w:rPr>
            </w:pPr>
            <w:r>
              <w:rPr>
                <w:rFonts w:ascii="Arial" w:hAnsi="Arial" w:cs="Arial"/>
                <w:b/>
                <w:bCs/>
                <w:color w:val="000000"/>
                <w:sz w:val="20"/>
                <w:szCs w:val="20"/>
              </w:rPr>
              <w:t>Tabled By Sponsor Rep. Al Riley</w:t>
            </w:r>
          </w:p>
        </w:tc>
      </w:tr>
    </w:tbl>
    <w:p w:rsidR="00000000" w:rsidRDefault="002D61D9">
      <w:pPr>
        <w:pStyle w:val="NormalWeb"/>
      </w:pPr>
    </w:p>
    <w:p w:rsidR="00000000" w:rsidRDefault="002D61D9">
      <w:r>
        <w:pict>
          <v:rect id="_x0000_i1104" style="width:0;height:1.5pt" o:hralign="center" o:hrstd="t" o:hr="t" fillcolor="#a0a0a0" stroked="f"/>
        </w:pict>
      </w:r>
    </w:p>
    <w:tbl>
      <w:tblPr>
        <w:tblW w:w="0" w:type="auto"/>
        <w:tblCellSpacing w:w="15" w:type="dxa"/>
        <w:tblCellMar>
          <w:top w:w="15" w:type="dxa"/>
          <w:left w:w="15" w:type="dxa"/>
          <w:bottom w:w="15" w:type="dxa"/>
          <w:right w:w="15" w:type="dxa"/>
        </w:tblCellMar>
        <w:tblLook w:val="0000"/>
      </w:tblPr>
      <w:tblGrid>
        <w:gridCol w:w="5303"/>
      </w:tblGrid>
      <w:tr w:rsidR="00000000">
        <w:trPr>
          <w:tblCellSpacing w:w="15" w:type="dxa"/>
        </w:trPr>
        <w:tc>
          <w:tcPr>
            <w:tcW w:w="0" w:type="auto"/>
            <w:vAlign w:val="center"/>
          </w:tcPr>
          <w:p w:rsidR="00000000" w:rsidRDefault="002D61D9">
            <w:pPr>
              <w:rPr>
                <w:rFonts w:ascii="Arial" w:hAnsi="Arial" w:cs="Arial"/>
                <w:color w:val="000000"/>
                <w:sz w:val="20"/>
                <w:szCs w:val="20"/>
              </w:rPr>
            </w:pPr>
            <w:r>
              <w:rPr>
                <w:rFonts w:ascii="Arial" w:hAnsi="Arial" w:cs="Arial"/>
                <w:color w:val="000000"/>
                <w:sz w:val="20"/>
                <w:szCs w:val="20"/>
              </w:rPr>
              <w:t>Totals: 15 - (House Bills: 9) (Senate Bills: 5) (Other Bills: 1)</w:t>
            </w:r>
          </w:p>
        </w:tc>
      </w:tr>
    </w:tbl>
    <w:p w:rsidR="00000000" w:rsidRDefault="002D61D9"/>
    <w:p w:rsidR="00000000" w:rsidRDefault="002D61D9">
      <w:pPr>
        <w:rPr>
          <w:sz w:val="18"/>
        </w:rPr>
      </w:pPr>
    </w:p>
    <w:sectPr w:rsidR="000000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61D9"/>
    <w:rsid w:val="002D61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
    <w:name w:val="heading"/>
    <w:basedOn w:val="DefaultParagraphFont"/>
    <w:rPr>
      <w:rFonts w:ascii="Arial" w:hAnsi="Arial" w:cs="Arial" w:hint="default"/>
      <w:b/>
      <w:bCs/>
      <w:color w:val="000000"/>
      <w:sz w:val="24"/>
      <w:szCs w:val="24"/>
    </w:rPr>
  </w:style>
  <w:style w:type="character" w:customStyle="1" w:styleId="heading2">
    <w:name w:val="heading2"/>
    <w:basedOn w:val="DefaultParagraphFont"/>
    <w:rPr>
      <w:rFonts w:ascii="Arial" w:hAnsi="Arial" w:cs="Arial" w:hint="default"/>
      <w:b/>
      <w:bCs/>
      <w:color w:val="000000"/>
      <w:sz w:val="20"/>
      <w:szCs w:val="20"/>
    </w:rPr>
  </w:style>
  <w:style w:type="character" w:customStyle="1" w:styleId="content">
    <w:name w:val="content"/>
    <w:basedOn w:val="DefaultParagraphFont"/>
    <w:rPr>
      <w:rFonts w:ascii="Arial" w:hAnsi="Arial" w:cs="Arial" w:hint="default"/>
      <w:color w:val="000000"/>
      <w:sz w:val="20"/>
      <w:szCs w:val="20"/>
    </w:rPr>
  </w:style>
  <w:style w:type="paragraph" w:styleId="NormalWeb">
    <w:name w:val="Normal (Web)"/>
    <w:basedOn w:val="Normal"/>
    <w:semiHidden/>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5622</Words>
  <Characters>32927</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Abbreviated Report</vt:lpstr>
    </vt:vector>
  </TitlesOfParts>
  <Company/>
  <LinksUpToDate>false</LinksUpToDate>
  <CharactersWithSpaces>38473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Report</dc:title>
  <dc:subject/>
  <dc:creator>Beth</dc:creator>
  <cp:keywords/>
  <dc:description/>
  <cp:lastModifiedBy>cjasch</cp:lastModifiedBy>
  <cp:revision>2</cp:revision>
  <dcterms:created xsi:type="dcterms:W3CDTF">2010-12-02T16:03:00Z</dcterms:created>
  <dcterms:modified xsi:type="dcterms:W3CDTF">2010-12-02T16:03:00Z</dcterms:modified>
</cp:coreProperties>
</file>